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7C177" w14:textId="73FD20D8" w:rsidR="005F1122" w:rsidRDefault="005F1122" w:rsidP="009B1836">
      <w:pPr>
        <w:rPr>
          <w:b/>
          <w:u w:val="single"/>
        </w:rPr>
      </w:pPr>
    </w:p>
    <w:p w14:paraId="3925E279" w14:textId="77777777" w:rsidR="009B1836" w:rsidRPr="00F96275" w:rsidRDefault="009B1836" w:rsidP="009B1836">
      <w:pPr>
        <w:rPr>
          <w:bCs/>
        </w:rPr>
      </w:pPr>
      <w:r w:rsidRPr="00F96275">
        <w:rPr>
          <w:b/>
          <w:u w:val="single"/>
        </w:rPr>
        <w:t>Title</w:t>
      </w:r>
      <w:r w:rsidRPr="00F96275">
        <w:t>:</w:t>
      </w:r>
      <w:r w:rsidRPr="00F96275">
        <w:rPr>
          <w:bCs/>
        </w:rPr>
        <w:t xml:space="preserve">  </w:t>
      </w:r>
    </w:p>
    <w:p w14:paraId="7D6E198A" w14:textId="77777777" w:rsidR="009B1836" w:rsidRPr="00F96275" w:rsidRDefault="009B1836" w:rsidP="009B1836">
      <w:pPr>
        <w:rPr>
          <w:b/>
          <w:bCs/>
          <w:u w:val="single"/>
        </w:rPr>
      </w:pPr>
    </w:p>
    <w:p w14:paraId="03D6BE52" w14:textId="77777777" w:rsidR="009B1836" w:rsidRPr="00F96275" w:rsidRDefault="00172A4C" w:rsidP="009B1836">
      <w:r w:rsidRPr="00F96275">
        <w:rPr>
          <w:b/>
          <w:u w:val="single"/>
        </w:rPr>
        <w:t xml:space="preserve">Submitter/ </w:t>
      </w:r>
      <w:r w:rsidR="009B1836" w:rsidRPr="00F96275">
        <w:rPr>
          <w:b/>
          <w:u w:val="single"/>
        </w:rPr>
        <w:t>Est. Cost ($</w:t>
      </w:r>
      <w:r w:rsidR="00E104DA" w:rsidRPr="00F96275">
        <w:rPr>
          <w:b/>
          <w:u w:val="single"/>
        </w:rPr>
        <w:t>K</w:t>
      </w:r>
      <w:r w:rsidR="009B1836" w:rsidRPr="00F96275">
        <w:rPr>
          <w:b/>
          <w:u w:val="single"/>
        </w:rPr>
        <w:t>)</w:t>
      </w:r>
      <w:r w:rsidRPr="00F96275">
        <w:rPr>
          <w:b/>
          <w:u w:val="single"/>
        </w:rPr>
        <w:t>/Possibility for collaboration</w:t>
      </w:r>
      <w:r w:rsidR="009B1836" w:rsidRPr="00F96275">
        <w:t xml:space="preserve">: </w:t>
      </w:r>
    </w:p>
    <w:p w14:paraId="604FF494" w14:textId="77777777" w:rsidR="009B1836" w:rsidRPr="00F96275" w:rsidRDefault="009B1836" w:rsidP="009B1836">
      <w:pPr>
        <w:rPr>
          <w:b/>
          <w:u w:val="single"/>
        </w:rPr>
      </w:pPr>
    </w:p>
    <w:p w14:paraId="7666B2B8" w14:textId="77777777" w:rsidR="005F1122" w:rsidRPr="00F96275" w:rsidRDefault="005F1122" w:rsidP="009B1836">
      <w:pPr>
        <w:rPr>
          <w:b/>
        </w:rPr>
      </w:pPr>
    </w:p>
    <w:p w14:paraId="5CE33EB1" w14:textId="77777777" w:rsidR="005F1122" w:rsidRPr="00F96275" w:rsidRDefault="005F1122" w:rsidP="005F1122">
      <w:pPr>
        <w:autoSpaceDE w:val="0"/>
        <w:autoSpaceDN w:val="0"/>
        <w:adjustRightInd w:val="0"/>
      </w:pPr>
      <w:r w:rsidRPr="00F96275">
        <w:rPr>
          <w:b/>
          <w:u w:val="single"/>
        </w:rPr>
        <w:t>Background</w:t>
      </w:r>
      <w:r w:rsidRPr="00F96275">
        <w:t xml:space="preserve">: </w:t>
      </w:r>
    </w:p>
    <w:p w14:paraId="14E90444" w14:textId="77777777" w:rsidR="005F1122" w:rsidRPr="00F96275" w:rsidRDefault="005F1122" w:rsidP="005F1122">
      <w:pPr>
        <w:autoSpaceDE w:val="0"/>
        <w:autoSpaceDN w:val="0"/>
        <w:adjustRightInd w:val="0"/>
        <w:rPr>
          <w:b/>
        </w:rPr>
      </w:pPr>
    </w:p>
    <w:p w14:paraId="4A5550C3" w14:textId="77777777" w:rsidR="005F1122" w:rsidRPr="00F96275" w:rsidRDefault="005F1122" w:rsidP="005F1122">
      <w:pPr>
        <w:autoSpaceDE w:val="0"/>
        <w:autoSpaceDN w:val="0"/>
        <w:adjustRightInd w:val="0"/>
        <w:rPr>
          <w:b/>
        </w:rPr>
      </w:pPr>
    </w:p>
    <w:p w14:paraId="46081B30" w14:textId="77777777" w:rsidR="005F1122" w:rsidRPr="00F96275" w:rsidRDefault="005F1122" w:rsidP="005F1122">
      <w:pPr>
        <w:autoSpaceDE w:val="0"/>
        <w:autoSpaceDN w:val="0"/>
        <w:adjustRightInd w:val="0"/>
      </w:pPr>
      <w:r w:rsidRPr="00F96275">
        <w:rPr>
          <w:b/>
          <w:szCs w:val="22"/>
          <w:u w:val="single"/>
        </w:rPr>
        <w:t>Project Objective</w:t>
      </w:r>
      <w:r w:rsidRPr="00F96275">
        <w:rPr>
          <w:szCs w:val="22"/>
        </w:rPr>
        <w:t>:</w:t>
      </w:r>
      <w:r w:rsidRPr="00F96275">
        <w:t xml:space="preserve"> </w:t>
      </w:r>
    </w:p>
    <w:p w14:paraId="4007CBD1" w14:textId="77777777" w:rsidR="00172A4C" w:rsidRPr="00F96275" w:rsidRDefault="00172A4C" w:rsidP="005F1122">
      <w:pPr>
        <w:autoSpaceDE w:val="0"/>
        <w:autoSpaceDN w:val="0"/>
        <w:adjustRightInd w:val="0"/>
      </w:pPr>
    </w:p>
    <w:p w14:paraId="0622E06E" w14:textId="77777777" w:rsidR="005F1122" w:rsidRPr="00F96275" w:rsidRDefault="005F1122" w:rsidP="005F1122">
      <w:pPr>
        <w:rPr>
          <w:b/>
        </w:rPr>
      </w:pPr>
    </w:p>
    <w:p w14:paraId="030884BA" w14:textId="77777777" w:rsidR="005F1122" w:rsidRPr="00F96275" w:rsidRDefault="005F1122" w:rsidP="005F1122">
      <w:r w:rsidRPr="00F96275">
        <w:rPr>
          <w:b/>
          <w:u w:val="single"/>
        </w:rPr>
        <w:t>Project Approach:</w:t>
      </w:r>
      <w:r w:rsidRPr="00F96275">
        <w:rPr>
          <w:b/>
        </w:rPr>
        <w:t xml:space="preserve"> </w:t>
      </w:r>
    </w:p>
    <w:p w14:paraId="78D87FDA" w14:textId="77777777" w:rsidR="00136B0A" w:rsidRPr="00F96275" w:rsidRDefault="00136B0A"/>
    <w:p w14:paraId="24ADB573" w14:textId="77777777" w:rsidR="005F1122" w:rsidRPr="00F96275" w:rsidRDefault="005F1122"/>
    <w:p w14:paraId="3716D2DF" w14:textId="77777777" w:rsidR="005F1122" w:rsidRPr="00F96275" w:rsidRDefault="00172A4C">
      <w:pPr>
        <w:rPr>
          <w:sz w:val="22"/>
          <w:szCs w:val="22"/>
        </w:rPr>
      </w:pPr>
      <w:r w:rsidRPr="00F96275">
        <w:rPr>
          <w:b/>
          <w:sz w:val="22"/>
          <w:szCs w:val="22"/>
          <w:u w:val="single"/>
        </w:rPr>
        <w:t>For</w:t>
      </w:r>
      <w:r w:rsidR="00E104DA" w:rsidRPr="00F96275">
        <w:rPr>
          <w:b/>
          <w:sz w:val="22"/>
          <w:szCs w:val="22"/>
          <w:u w:val="single"/>
        </w:rPr>
        <w:t xml:space="preserve"> the </w:t>
      </w:r>
      <w:r w:rsidRPr="00F96275">
        <w:rPr>
          <w:b/>
          <w:sz w:val="22"/>
          <w:szCs w:val="22"/>
          <w:u w:val="single"/>
        </w:rPr>
        <w:t>below categories, delete the item</w:t>
      </w:r>
      <w:r w:rsidR="00E104DA" w:rsidRPr="00F96275">
        <w:rPr>
          <w:b/>
          <w:sz w:val="22"/>
          <w:szCs w:val="22"/>
          <w:u w:val="single"/>
        </w:rPr>
        <w:t>s</w:t>
      </w:r>
      <w:r w:rsidRPr="00F96275">
        <w:rPr>
          <w:b/>
          <w:sz w:val="22"/>
          <w:szCs w:val="22"/>
          <w:u w:val="single"/>
        </w:rPr>
        <w:t xml:space="preserve"> that do not apply</w:t>
      </w:r>
      <w:r w:rsidR="007834F6" w:rsidRPr="00F96275">
        <w:rPr>
          <w:b/>
          <w:sz w:val="22"/>
          <w:szCs w:val="22"/>
          <w:u w:val="single"/>
        </w:rPr>
        <w:t>;</w:t>
      </w:r>
      <w:r w:rsidRPr="00F96275">
        <w:rPr>
          <w:b/>
          <w:sz w:val="22"/>
          <w:szCs w:val="22"/>
          <w:u w:val="single"/>
        </w:rPr>
        <w:t xml:space="preserve"> </w:t>
      </w:r>
      <w:r w:rsidR="007834F6" w:rsidRPr="00F96275">
        <w:rPr>
          <w:b/>
          <w:sz w:val="22"/>
          <w:szCs w:val="22"/>
          <w:u w:val="single"/>
        </w:rPr>
        <w:t xml:space="preserve">include </w:t>
      </w:r>
      <w:r w:rsidR="00E104DA" w:rsidRPr="00F96275">
        <w:rPr>
          <w:b/>
          <w:sz w:val="22"/>
          <w:szCs w:val="22"/>
          <w:u w:val="single"/>
        </w:rPr>
        <w:t xml:space="preserve">only </w:t>
      </w:r>
      <w:r w:rsidRPr="00F96275">
        <w:rPr>
          <w:b/>
          <w:sz w:val="22"/>
          <w:szCs w:val="22"/>
          <w:u w:val="single"/>
        </w:rPr>
        <w:t>items which apply</w:t>
      </w:r>
      <w:r w:rsidR="00E104DA" w:rsidRPr="00F96275">
        <w:rPr>
          <w:b/>
          <w:sz w:val="22"/>
          <w:szCs w:val="22"/>
          <w:u w:val="single"/>
        </w:rPr>
        <w:t>.</w:t>
      </w:r>
    </w:p>
    <w:p w14:paraId="01A4838A" w14:textId="77777777" w:rsidR="00732EF6" w:rsidRPr="00F96275" w:rsidRDefault="005F1122" w:rsidP="00172A4C">
      <w:r w:rsidRPr="00F96275">
        <w:rPr>
          <w:b/>
          <w:u w:val="single"/>
        </w:rPr>
        <w:t>Relevant strategic objective</w:t>
      </w:r>
      <w:r w:rsidR="00E104DA" w:rsidRPr="00F96275">
        <w:t xml:space="preserve">: </w:t>
      </w:r>
      <w:r w:rsidR="00AD1C0D" w:rsidRPr="00F96275">
        <w:t xml:space="preserve">Improving </w:t>
      </w:r>
      <w:r w:rsidR="00172A4C" w:rsidRPr="00F96275">
        <w:t>inventories, Improving</w:t>
      </w:r>
      <w:r w:rsidR="00AD1C0D" w:rsidRPr="00F96275">
        <w:t xml:space="preserve"> air </w:t>
      </w:r>
      <w:r w:rsidR="00172A4C" w:rsidRPr="00F96275">
        <w:t>chemistry, Improving</w:t>
      </w:r>
      <w:r w:rsidR="00AD1C0D" w:rsidRPr="00F96275">
        <w:t xml:space="preserve"> air quality </w:t>
      </w:r>
      <w:r w:rsidR="00172A4C" w:rsidRPr="00F96275">
        <w:t>modeling, Predict</w:t>
      </w:r>
      <w:r w:rsidR="00AD1C0D" w:rsidRPr="00F96275">
        <w:t xml:space="preserve"> importance of emerging data.</w:t>
      </w:r>
    </w:p>
    <w:p w14:paraId="1F570666" w14:textId="77777777" w:rsidR="00E72DA7" w:rsidRPr="00F96275" w:rsidRDefault="00E72DA7" w:rsidP="00F204DA">
      <w:pPr>
        <w:rPr>
          <w:sz w:val="16"/>
          <w:szCs w:val="16"/>
        </w:rPr>
      </w:pPr>
    </w:p>
    <w:p w14:paraId="689D328C" w14:textId="77777777" w:rsidR="00F204DA" w:rsidRPr="00F96275" w:rsidRDefault="00F204DA" w:rsidP="00F204DA">
      <w:r w:rsidRPr="00F96275">
        <w:rPr>
          <w:b/>
          <w:u w:val="single"/>
        </w:rPr>
        <w:t>Benefits</w:t>
      </w:r>
      <w:proofErr w:type="gramStart"/>
      <w:r w:rsidRPr="00F96275">
        <w:t>:  SIP</w:t>
      </w:r>
      <w:proofErr w:type="gramEnd"/>
      <w:r w:rsidRPr="00F96275">
        <w:t xml:space="preserve"> Needs, Faster Attainment, </w:t>
      </w:r>
      <w:r w:rsidRPr="00F96275">
        <w:rPr>
          <w:b/>
          <w:u w:val="single"/>
        </w:rPr>
        <w:t>Collaboration</w:t>
      </w:r>
      <w:r w:rsidRPr="00F96275">
        <w:t>, Primer, Demonstrate benefits, Other:</w:t>
      </w:r>
    </w:p>
    <w:p w14:paraId="71A912BD" w14:textId="77777777" w:rsidR="00E72DA7" w:rsidRPr="00F96275" w:rsidRDefault="00E72DA7">
      <w:pPr>
        <w:rPr>
          <w:sz w:val="16"/>
          <w:szCs w:val="16"/>
        </w:rPr>
      </w:pPr>
    </w:p>
    <w:p w14:paraId="7E40D823" w14:textId="65A57AD8" w:rsidR="00172A4C" w:rsidRPr="00F96275" w:rsidRDefault="00172A4C">
      <w:r w:rsidRPr="00F96275">
        <w:rPr>
          <w:b/>
          <w:u w:val="single"/>
        </w:rPr>
        <w:t xml:space="preserve">Meets subject of </w:t>
      </w:r>
      <w:r w:rsidR="00E72DA7" w:rsidRPr="00F96275">
        <w:rPr>
          <w:b/>
          <w:u w:val="single"/>
        </w:rPr>
        <w:t xml:space="preserve">an </w:t>
      </w:r>
      <w:r w:rsidRPr="00F96275">
        <w:rPr>
          <w:b/>
          <w:u w:val="single"/>
        </w:rPr>
        <w:t>CRC Air Quality Research Needs workshop</w:t>
      </w:r>
      <w:r w:rsidR="00F96275" w:rsidRPr="00F96275">
        <w:rPr>
          <w:b/>
          <w:u w:val="single"/>
        </w:rPr>
        <w:t xml:space="preserve"> or </w:t>
      </w:r>
      <w:r w:rsidR="00F96275" w:rsidRPr="00F96275">
        <w:rPr>
          <w:b/>
          <w:bCs/>
          <w:szCs w:val="24"/>
          <w:u w:val="single"/>
        </w:rPr>
        <w:t>Southern California Ozone Research Symposium</w:t>
      </w:r>
      <w:r w:rsidRPr="00F96275">
        <w:t xml:space="preserve">: </w:t>
      </w:r>
      <w:r w:rsidR="00F204DA" w:rsidRPr="00F96275">
        <w:t xml:space="preserve">(Fill in number </w:t>
      </w:r>
      <w:r w:rsidR="007834F6" w:rsidRPr="00F96275">
        <w:t xml:space="preserve">and subject </w:t>
      </w:r>
      <w:r w:rsidR="00F204DA" w:rsidRPr="00F96275">
        <w:t xml:space="preserve">from </w:t>
      </w:r>
      <w:r w:rsidR="00E72DA7" w:rsidRPr="00F96275">
        <w:t>Attachments</w:t>
      </w:r>
      <w:r w:rsidR="00F204DA" w:rsidRPr="00F96275">
        <w:t>)</w:t>
      </w:r>
    </w:p>
    <w:p w14:paraId="18B0C41B" w14:textId="77777777" w:rsidR="00E72DA7" w:rsidRPr="00F96275" w:rsidRDefault="00E72DA7" w:rsidP="00172A4C">
      <w:pPr>
        <w:rPr>
          <w:sz w:val="16"/>
          <w:szCs w:val="16"/>
        </w:rPr>
      </w:pPr>
    </w:p>
    <w:p w14:paraId="5060105B" w14:textId="77777777" w:rsidR="00172A4C" w:rsidRPr="00F96275" w:rsidRDefault="00172A4C" w:rsidP="00172A4C">
      <w:r w:rsidRPr="00F96275">
        <w:rPr>
          <w:b/>
          <w:u w:val="single"/>
        </w:rPr>
        <w:t>Project Deliverables</w:t>
      </w:r>
      <w:proofErr w:type="gramStart"/>
      <w:r w:rsidRPr="00F96275">
        <w:rPr>
          <w:b/>
        </w:rPr>
        <w:t xml:space="preserve">:  </w:t>
      </w:r>
      <w:r w:rsidRPr="00F96275">
        <w:t>Journal</w:t>
      </w:r>
      <w:proofErr w:type="gramEnd"/>
      <w:r w:rsidRPr="00F96275">
        <w:t xml:space="preserve"> article, Final Report, Quarterly or Monthly reports, Data code, Other:</w:t>
      </w:r>
    </w:p>
    <w:p w14:paraId="10605704" w14:textId="77777777" w:rsidR="00E72DA7" w:rsidRPr="00F96275" w:rsidRDefault="00E72DA7" w:rsidP="00172A4C">
      <w:pPr>
        <w:rPr>
          <w:sz w:val="16"/>
          <w:szCs w:val="16"/>
        </w:rPr>
      </w:pPr>
    </w:p>
    <w:p w14:paraId="5AF6F3C4" w14:textId="77777777" w:rsidR="00F204DA" w:rsidRPr="00F96275" w:rsidRDefault="00172A4C" w:rsidP="00172A4C">
      <w:r w:rsidRPr="00F96275">
        <w:rPr>
          <w:b/>
          <w:u w:val="single"/>
        </w:rPr>
        <w:t>Utilization of Deliverable</w:t>
      </w:r>
      <w:proofErr w:type="gramStart"/>
      <w:r w:rsidRPr="00F96275">
        <w:t>:  EPA</w:t>
      </w:r>
      <w:proofErr w:type="gramEnd"/>
      <w:r w:rsidRPr="00F96275">
        <w:t>, States, Region, District, Autos/Oils, Science Community, Other:</w:t>
      </w:r>
    </w:p>
    <w:p w14:paraId="4EF292B3" w14:textId="77777777" w:rsidR="00F204DA" w:rsidRPr="00F96275" w:rsidRDefault="00F204DA">
      <w:pPr>
        <w:spacing w:after="160" w:line="259" w:lineRule="auto"/>
      </w:pPr>
      <w:r w:rsidRPr="00F96275">
        <w:br w:type="page"/>
      </w:r>
    </w:p>
    <w:p w14:paraId="57A10FA6" w14:textId="55245234" w:rsidR="006059AE" w:rsidRDefault="006059AE" w:rsidP="006059AE">
      <w:pPr>
        <w:jc w:val="center"/>
        <w:rPr>
          <w:b/>
          <w:u w:val="single"/>
        </w:rPr>
      </w:pPr>
      <w:r>
        <w:rPr>
          <w:b/>
          <w:u w:val="single"/>
        </w:rPr>
        <w:lastRenderedPageBreak/>
        <w:t>A</w:t>
      </w:r>
      <w:r w:rsidR="00A62816">
        <w:rPr>
          <w:b/>
          <w:u w:val="single"/>
        </w:rPr>
        <w:t>ppendix</w:t>
      </w:r>
      <w:r>
        <w:rPr>
          <w:b/>
          <w:u w:val="single"/>
        </w:rPr>
        <w:t xml:space="preserve"> 1</w:t>
      </w:r>
    </w:p>
    <w:p w14:paraId="58E22580" w14:textId="77777777" w:rsidR="006059AE" w:rsidRDefault="006059AE" w:rsidP="006059AE">
      <w:pPr>
        <w:jc w:val="center"/>
        <w:rPr>
          <w:b/>
          <w:u w:val="single"/>
        </w:rPr>
      </w:pPr>
    </w:p>
    <w:p w14:paraId="76C5834D" w14:textId="7C9C9AF1" w:rsidR="006059AE" w:rsidRDefault="006059AE" w:rsidP="006059AE">
      <w:pPr>
        <w:rPr>
          <w:b/>
          <w:bCs/>
          <w:szCs w:val="24"/>
        </w:rPr>
      </w:pPr>
      <w:r w:rsidRPr="006059AE">
        <w:rPr>
          <w:b/>
          <w:bCs/>
          <w:szCs w:val="24"/>
        </w:rPr>
        <w:t>2022 Air Quality Research Needs Workshop</w:t>
      </w:r>
      <w:r w:rsidRPr="00805B66">
        <w:rPr>
          <w:b/>
          <w:bCs/>
          <w:szCs w:val="24"/>
        </w:rPr>
        <w:t xml:space="preserve">; Top </w:t>
      </w:r>
      <w:r>
        <w:rPr>
          <w:b/>
          <w:bCs/>
          <w:szCs w:val="24"/>
        </w:rPr>
        <w:t>10</w:t>
      </w:r>
      <w:r w:rsidRPr="00805B66">
        <w:rPr>
          <w:b/>
          <w:bCs/>
          <w:szCs w:val="24"/>
        </w:rPr>
        <w:t xml:space="preserve"> Research Needs</w:t>
      </w:r>
    </w:p>
    <w:p w14:paraId="55FCE081" w14:textId="77777777" w:rsidR="006059AE" w:rsidRDefault="006059AE" w:rsidP="00E72DA7">
      <w:pPr>
        <w:jc w:val="center"/>
        <w:rPr>
          <w:b/>
          <w:u w:val="single"/>
        </w:rPr>
      </w:pPr>
    </w:p>
    <w:tbl>
      <w:tblPr>
        <w:tblStyle w:val="TableGrid"/>
        <w:tblW w:w="9350" w:type="dxa"/>
        <w:tblLayout w:type="fixed"/>
        <w:tblLook w:val="04A0" w:firstRow="1" w:lastRow="0" w:firstColumn="1" w:lastColumn="0" w:noHBand="0" w:noVBand="1"/>
      </w:tblPr>
      <w:tblGrid>
        <w:gridCol w:w="980"/>
        <w:gridCol w:w="6840"/>
        <w:gridCol w:w="1530"/>
      </w:tblGrid>
      <w:tr w:rsidR="006059AE" w:rsidRPr="004B35EE" w14:paraId="34CC0502" w14:textId="77777777" w:rsidTr="004052D0">
        <w:tc>
          <w:tcPr>
            <w:tcW w:w="980" w:type="dxa"/>
            <w:tcBorders>
              <w:top w:val="single" w:sz="8" w:space="0" w:color="auto"/>
              <w:left w:val="single" w:sz="8" w:space="0" w:color="auto"/>
              <w:bottom w:val="single" w:sz="8" w:space="0" w:color="auto"/>
              <w:right w:val="single" w:sz="8" w:space="0" w:color="auto"/>
            </w:tcBorders>
          </w:tcPr>
          <w:p w14:paraId="6C197BAD" w14:textId="29FAB5B8" w:rsidR="006059AE" w:rsidRPr="004B35EE" w:rsidRDefault="00F94101" w:rsidP="004052D0">
            <w:pPr>
              <w:rPr>
                <w:rFonts w:eastAsia="Calibri"/>
                <w:b/>
                <w:bCs/>
                <w:szCs w:val="24"/>
              </w:rPr>
            </w:pPr>
            <w:r>
              <w:rPr>
                <w:rFonts w:eastAsia="Calibri"/>
                <w:b/>
                <w:bCs/>
                <w:szCs w:val="24"/>
              </w:rPr>
              <w:t>No.</w:t>
            </w:r>
          </w:p>
        </w:tc>
        <w:tc>
          <w:tcPr>
            <w:tcW w:w="6840" w:type="dxa"/>
            <w:tcBorders>
              <w:top w:val="single" w:sz="8" w:space="0" w:color="auto"/>
              <w:left w:val="single" w:sz="8" w:space="0" w:color="auto"/>
              <w:bottom w:val="single" w:sz="8" w:space="0" w:color="auto"/>
              <w:right w:val="single" w:sz="8" w:space="0" w:color="auto"/>
            </w:tcBorders>
          </w:tcPr>
          <w:p w14:paraId="28AA905D" w14:textId="6DB1A43D" w:rsidR="006059AE" w:rsidRPr="004B35EE" w:rsidRDefault="00F94101" w:rsidP="004052D0">
            <w:pPr>
              <w:rPr>
                <w:szCs w:val="24"/>
              </w:rPr>
            </w:pPr>
            <w:r>
              <w:rPr>
                <w:rFonts w:eastAsia="Calibri"/>
                <w:b/>
                <w:bCs/>
                <w:szCs w:val="24"/>
              </w:rPr>
              <w:t>Subject</w:t>
            </w:r>
          </w:p>
        </w:tc>
        <w:tc>
          <w:tcPr>
            <w:tcW w:w="1530" w:type="dxa"/>
            <w:tcBorders>
              <w:top w:val="single" w:sz="8" w:space="0" w:color="auto"/>
              <w:left w:val="single" w:sz="8" w:space="0" w:color="auto"/>
              <w:bottom w:val="single" w:sz="8" w:space="0" w:color="auto"/>
              <w:right w:val="single" w:sz="8" w:space="0" w:color="auto"/>
            </w:tcBorders>
          </w:tcPr>
          <w:p w14:paraId="327104A5" w14:textId="3F78EE59" w:rsidR="006059AE" w:rsidRPr="004B35EE" w:rsidRDefault="00F94101" w:rsidP="004052D0">
            <w:pPr>
              <w:rPr>
                <w:szCs w:val="24"/>
              </w:rPr>
            </w:pPr>
            <w:r>
              <w:rPr>
                <w:rFonts w:eastAsia="Calibri"/>
                <w:b/>
                <w:bCs/>
                <w:szCs w:val="24"/>
              </w:rPr>
              <w:t>Topic</w:t>
            </w:r>
          </w:p>
        </w:tc>
      </w:tr>
      <w:tr w:rsidR="006059AE" w:rsidRPr="004B35EE" w14:paraId="79C90053" w14:textId="77777777" w:rsidTr="004052D0">
        <w:tc>
          <w:tcPr>
            <w:tcW w:w="980" w:type="dxa"/>
            <w:tcBorders>
              <w:top w:val="single" w:sz="8" w:space="0" w:color="auto"/>
              <w:left w:val="single" w:sz="8" w:space="0" w:color="auto"/>
              <w:bottom w:val="single" w:sz="8" w:space="0" w:color="auto"/>
              <w:right w:val="single" w:sz="8" w:space="0" w:color="auto"/>
            </w:tcBorders>
          </w:tcPr>
          <w:p w14:paraId="11E8FA1E" w14:textId="77777777" w:rsidR="006059AE" w:rsidRPr="004B35EE" w:rsidRDefault="006059AE" w:rsidP="004052D0">
            <w:pPr>
              <w:rPr>
                <w:rFonts w:eastAsia="Calibri"/>
                <w:szCs w:val="24"/>
              </w:rPr>
            </w:pPr>
            <w:r w:rsidRPr="004B35EE">
              <w:rPr>
                <w:rFonts w:eastAsia="Calibri"/>
                <w:szCs w:val="24"/>
              </w:rPr>
              <w:t>1</w:t>
            </w:r>
          </w:p>
        </w:tc>
        <w:tc>
          <w:tcPr>
            <w:tcW w:w="6840" w:type="dxa"/>
            <w:tcBorders>
              <w:top w:val="single" w:sz="8" w:space="0" w:color="auto"/>
              <w:left w:val="single" w:sz="8" w:space="0" w:color="auto"/>
              <w:bottom w:val="single" w:sz="8" w:space="0" w:color="auto"/>
              <w:right w:val="single" w:sz="8" w:space="0" w:color="auto"/>
            </w:tcBorders>
          </w:tcPr>
          <w:p w14:paraId="31D002F4" w14:textId="77777777" w:rsidR="006059AE" w:rsidRPr="006059AE" w:rsidRDefault="006059AE" w:rsidP="004052D0">
            <w:pPr>
              <w:rPr>
                <w:szCs w:val="24"/>
              </w:rPr>
            </w:pPr>
            <w:r w:rsidRPr="006059AE">
              <w:t>Multi-component Satellite / Ground Data Assimilation</w:t>
            </w:r>
          </w:p>
        </w:tc>
        <w:tc>
          <w:tcPr>
            <w:tcW w:w="1530" w:type="dxa"/>
            <w:tcBorders>
              <w:top w:val="single" w:sz="8" w:space="0" w:color="auto"/>
              <w:left w:val="single" w:sz="8" w:space="0" w:color="auto"/>
              <w:bottom w:val="single" w:sz="8" w:space="0" w:color="auto"/>
              <w:right w:val="single" w:sz="8" w:space="0" w:color="auto"/>
            </w:tcBorders>
          </w:tcPr>
          <w:p w14:paraId="140E0B02" w14:textId="77777777" w:rsidR="006059AE" w:rsidRPr="004B35EE" w:rsidRDefault="006059AE" w:rsidP="004052D0">
            <w:pPr>
              <w:rPr>
                <w:szCs w:val="24"/>
              </w:rPr>
            </w:pPr>
            <w:r w:rsidRPr="004B35EE">
              <w:t xml:space="preserve">Modeling </w:t>
            </w:r>
          </w:p>
        </w:tc>
      </w:tr>
      <w:tr w:rsidR="006059AE" w:rsidRPr="004B35EE" w14:paraId="1E4D9C94" w14:textId="77777777" w:rsidTr="004052D0">
        <w:tc>
          <w:tcPr>
            <w:tcW w:w="980" w:type="dxa"/>
            <w:tcBorders>
              <w:top w:val="single" w:sz="8" w:space="0" w:color="auto"/>
              <w:left w:val="single" w:sz="8" w:space="0" w:color="auto"/>
              <w:bottom w:val="single" w:sz="8" w:space="0" w:color="auto"/>
              <w:right w:val="single" w:sz="8" w:space="0" w:color="auto"/>
            </w:tcBorders>
          </w:tcPr>
          <w:p w14:paraId="2F1E5DA0" w14:textId="77777777" w:rsidR="006059AE" w:rsidRPr="004B35EE" w:rsidRDefault="006059AE" w:rsidP="004052D0">
            <w:pPr>
              <w:rPr>
                <w:szCs w:val="24"/>
              </w:rPr>
            </w:pPr>
            <w:r w:rsidRPr="004B35EE">
              <w:rPr>
                <w:szCs w:val="24"/>
              </w:rPr>
              <w:t>2</w:t>
            </w:r>
          </w:p>
        </w:tc>
        <w:tc>
          <w:tcPr>
            <w:tcW w:w="6840" w:type="dxa"/>
            <w:tcBorders>
              <w:top w:val="single" w:sz="8" w:space="0" w:color="auto"/>
              <w:left w:val="single" w:sz="8" w:space="0" w:color="auto"/>
              <w:bottom w:val="single" w:sz="8" w:space="0" w:color="auto"/>
              <w:right w:val="single" w:sz="8" w:space="0" w:color="auto"/>
            </w:tcBorders>
          </w:tcPr>
          <w:p w14:paraId="3AFA8523" w14:textId="77777777" w:rsidR="006059AE" w:rsidRPr="006059AE" w:rsidRDefault="006059AE" w:rsidP="004052D0">
            <w:pPr>
              <w:rPr>
                <w:szCs w:val="24"/>
                <w:lang w:val="fr-FR"/>
              </w:rPr>
            </w:pPr>
            <w:r w:rsidRPr="006059AE">
              <w:rPr>
                <w:rFonts w:eastAsia="Calibri"/>
                <w:szCs w:val="24"/>
                <w:lang w:val="fr-FR"/>
              </w:rPr>
              <w:t xml:space="preserve">Emissions Inventories on </w:t>
            </w:r>
            <w:proofErr w:type="spellStart"/>
            <w:r w:rsidRPr="006059AE">
              <w:rPr>
                <w:rFonts w:eastAsia="Calibri"/>
                <w:szCs w:val="24"/>
                <w:lang w:val="fr-FR"/>
              </w:rPr>
              <w:t>Environmental</w:t>
            </w:r>
            <w:proofErr w:type="spellEnd"/>
            <w:r w:rsidRPr="006059AE">
              <w:rPr>
                <w:rFonts w:eastAsia="Calibri"/>
                <w:szCs w:val="24"/>
                <w:lang w:val="fr-FR"/>
              </w:rPr>
              <w:t xml:space="preserve"> Justice-Relevant Scales</w:t>
            </w:r>
          </w:p>
        </w:tc>
        <w:tc>
          <w:tcPr>
            <w:tcW w:w="1530" w:type="dxa"/>
            <w:tcBorders>
              <w:top w:val="single" w:sz="8" w:space="0" w:color="auto"/>
              <w:left w:val="single" w:sz="8" w:space="0" w:color="auto"/>
              <w:bottom w:val="single" w:sz="8" w:space="0" w:color="auto"/>
              <w:right w:val="single" w:sz="8" w:space="0" w:color="auto"/>
            </w:tcBorders>
          </w:tcPr>
          <w:p w14:paraId="37D26A87" w14:textId="77777777" w:rsidR="006059AE" w:rsidRPr="004B35EE" w:rsidRDefault="006059AE" w:rsidP="004052D0">
            <w:r w:rsidRPr="004B35EE">
              <w:rPr>
                <w:rFonts w:eastAsia="Calibri"/>
                <w:szCs w:val="24"/>
              </w:rPr>
              <w:t xml:space="preserve">Emissions </w:t>
            </w:r>
          </w:p>
        </w:tc>
      </w:tr>
      <w:tr w:rsidR="006059AE" w:rsidRPr="004B35EE" w14:paraId="0A615B41" w14:textId="77777777" w:rsidTr="004052D0">
        <w:tc>
          <w:tcPr>
            <w:tcW w:w="980" w:type="dxa"/>
            <w:tcBorders>
              <w:top w:val="single" w:sz="8" w:space="0" w:color="auto"/>
              <w:left w:val="single" w:sz="8" w:space="0" w:color="auto"/>
              <w:bottom w:val="single" w:sz="8" w:space="0" w:color="auto"/>
              <w:right w:val="single" w:sz="8" w:space="0" w:color="auto"/>
            </w:tcBorders>
          </w:tcPr>
          <w:p w14:paraId="227CA3F2" w14:textId="77777777" w:rsidR="006059AE" w:rsidRPr="004B35EE" w:rsidRDefault="006059AE" w:rsidP="004052D0">
            <w:pPr>
              <w:rPr>
                <w:szCs w:val="24"/>
              </w:rPr>
            </w:pPr>
            <w:r w:rsidRPr="004B35EE">
              <w:rPr>
                <w:szCs w:val="24"/>
              </w:rPr>
              <w:t>3</w:t>
            </w:r>
          </w:p>
        </w:tc>
        <w:tc>
          <w:tcPr>
            <w:tcW w:w="6840" w:type="dxa"/>
            <w:tcBorders>
              <w:top w:val="single" w:sz="8" w:space="0" w:color="auto"/>
              <w:left w:val="single" w:sz="8" w:space="0" w:color="auto"/>
              <w:bottom w:val="single" w:sz="8" w:space="0" w:color="auto"/>
              <w:right w:val="single" w:sz="8" w:space="0" w:color="auto"/>
            </w:tcBorders>
          </w:tcPr>
          <w:p w14:paraId="22AA4E03" w14:textId="77777777" w:rsidR="006059AE" w:rsidRPr="006059AE" w:rsidRDefault="006059AE" w:rsidP="004052D0">
            <w:pPr>
              <w:rPr>
                <w:szCs w:val="24"/>
              </w:rPr>
            </w:pPr>
            <w:r w:rsidRPr="006059AE">
              <w:t xml:space="preserve">Coupling + </w:t>
            </w:r>
            <w:proofErr w:type="gramStart"/>
            <w:r w:rsidRPr="006059AE">
              <w:t>Feedbacks</w:t>
            </w:r>
            <w:proofErr w:type="gramEnd"/>
            <w:r w:rsidRPr="006059AE">
              <w:t xml:space="preserve"> between Air Pollution and Meteorology</w:t>
            </w:r>
          </w:p>
        </w:tc>
        <w:tc>
          <w:tcPr>
            <w:tcW w:w="1530" w:type="dxa"/>
            <w:tcBorders>
              <w:top w:val="single" w:sz="8" w:space="0" w:color="auto"/>
              <w:left w:val="single" w:sz="8" w:space="0" w:color="auto"/>
              <w:bottom w:val="single" w:sz="8" w:space="0" w:color="auto"/>
              <w:right w:val="single" w:sz="8" w:space="0" w:color="auto"/>
            </w:tcBorders>
          </w:tcPr>
          <w:p w14:paraId="7A7F8D6C" w14:textId="77777777" w:rsidR="006059AE" w:rsidRPr="004B35EE" w:rsidRDefault="006059AE" w:rsidP="004052D0">
            <w:r w:rsidRPr="004B35EE">
              <w:t>Modeling</w:t>
            </w:r>
          </w:p>
        </w:tc>
      </w:tr>
      <w:tr w:rsidR="006059AE" w:rsidRPr="004B35EE" w14:paraId="0597E166" w14:textId="77777777" w:rsidTr="004052D0">
        <w:tc>
          <w:tcPr>
            <w:tcW w:w="980" w:type="dxa"/>
            <w:tcBorders>
              <w:top w:val="single" w:sz="8" w:space="0" w:color="auto"/>
              <w:left w:val="single" w:sz="8" w:space="0" w:color="auto"/>
              <w:bottom w:val="single" w:sz="8" w:space="0" w:color="auto"/>
              <w:right w:val="single" w:sz="8" w:space="0" w:color="auto"/>
            </w:tcBorders>
          </w:tcPr>
          <w:p w14:paraId="53F67932" w14:textId="77777777" w:rsidR="006059AE" w:rsidRPr="004B35EE" w:rsidRDefault="006059AE" w:rsidP="004052D0">
            <w:pPr>
              <w:rPr>
                <w:szCs w:val="24"/>
              </w:rPr>
            </w:pPr>
            <w:r w:rsidRPr="004B35EE">
              <w:rPr>
                <w:szCs w:val="24"/>
              </w:rPr>
              <w:t>4</w:t>
            </w:r>
          </w:p>
        </w:tc>
        <w:tc>
          <w:tcPr>
            <w:tcW w:w="6840" w:type="dxa"/>
            <w:tcBorders>
              <w:top w:val="single" w:sz="8" w:space="0" w:color="auto"/>
              <w:left w:val="single" w:sz="8" w:space="0" w:color="auto"/>
              <w:bottom w:val="single" w:sz="8" w:space="0" w:color="auto"/>
              <w:right w:val="single" w:sz="8" w:space="0" w:color="auto"/>
            </w:tcBorders>
          </w:tcPr>
          <w:p w14:paraId="31944FED" w14:textId="77777777" w:rsidR="006059AE" w:rsidRPr="006059AE" w:rsidRDefault="006059AE" w:rsidP="004052D0">
            <w:pPr>
              <w:rPr>
                <w:szCs w:val="24"/>
              </w:rPr>
            </w:pPr>
            <w:r w:rsidRPr="006059AE">
              <w:t>Chemistry of Today and Tomorrow</w:t>
            </w:r>
          </w:p>
        </w:tc>
        <w:tc>
          <w:tcPr>
            <w:tcW w:w="1530" w:type="dxa"/>
            <w:tcBorders>
              <w:top w:val="single" w:sz="8" w:space="0" w:color="auto"/>
              <w:left w:val="single" w:sz="8" w:space="0" w:color="auto"/>
              <w:bottom w:val="single" w:sz="8" w:space="0" w:color="auto"/>
              <w:right w:val="single" w:sz="8" w:space="0" w:color="auto"/>
            </w:tcBorders>
          </w:tcPr>
          <w:p w14:paraId="21CB0BFE" w14:textId="77777777" w:rsidR="006059AE" w:rsidRPr="004B35EE" w:rsidRDefault="006059AE" w:rsidP="004052D0">
            <w:r w:rsidRPr="004B35EE">
              <w:t xml:space="preserve">Chemistry </w:t>
            </w:r>
          </w:p>
        </w:tc>
      </w:tr>
      <w:tr w:rsidR="006059AE" w:rsidRPr="004B35EE" w14:paraId="0F8DA35F" w14:textId="77777777" w:rsidTr="004052D0">
        <w:tc>
          <w:tcPr>
            <w:tcW w:w="980" w:type="dxa"/>
            <w:tcBorders>
              <w:top w:val="single" w:sz="8" w:space="0" w:color="auto"/>
              <w:left w:val="single" w:sz="8" w:space="0" w:color="auto"/>
              <w:bottom w:val="single" w:sz="8" w:space="0" w:color="auto"/>
              <w:right w:val="single" w:sz="8" w:space="0" w:color="auto"/>
            </w:tcBorders>
          </w:tcPr>
          <w:p w14:paraId="2EAEBC87" w14:textId="70EBA0D0" w:rsidR="006059AE" w:rsidRPr="004B35EE" w:rsidRDefault="00971AB4" w:rsidP="004052D0">
            <w:pPr>
              <w:rPr>
                <w:szCs w:val="24"/>
              </w:rPr>
            </w:pPr>
            <w:r>
              <w:rPr>
                <w:szCs w:val="24"/>
              </w:rPr>
              <w:t>*</w:t>
            </w:r>
            <w:r w:rsidR="006059AE" w:rsidRPr="004B35EE">
              <w:rPr>
                <w:szCs w:val="24"/>
              </w:rPr>
              <w:t>5</w:t>
            </w:r>
          </w:p>
        </w:tc>
        <w:tc>
          <w:tcPr>
            <w:tcW w:w="6840" w:type="dxa"/>
            <w:tcBorders>
              <w:top w:val="single" w:sz="8" w:space="0" w:color="auto"/>
              <w:left w:val="single" w:sz="8" w:space="0" w:color="auto"/>
              <w:bottom w:val="single" w:sz="8" w:space="0" w:color="auto"/>
              <w:right w:val="single" w:sz="8" w:space="0" w:color="auto"/>
            </w:tcBorders>
          </w:tcPr>
          <w:p w14:paraId="008362E9" w14:textId="02B24013" w:rsidR="006059AE" w:rsidRPr="006059AE" w:rsidRDefault="006059AE" w:rsidP="004052D0">
            <w:pPr>
              <w:rPr>
                <w:szCs w:val="24"/>
              </w:rPr>
            </w:pPr>
            <w:r w:rsidRPr="006059AE">
              <w:t>Consistent Implementation of PBL Processes in Air Quality and Meteorological Models</w:t>
            </w:r>
            <w:r w:rsidR="00971AB4">
              <w:t xml:space="preserve">               </w:t>
            </w:r>
          </w:p>
        </w:tc>
        <w:tc>
          <w:tcPr>
            <w:tcW w:w="1530" w:type="dxa"/>
            <w:tcBorders>
              <w:top w:val="single" w:sz="8" w:space="0" w:color="auto"/>
              <w:left w:val="single" w:sz="8" w:space="0" w:color="auto"/>
              <w:bottom w:val="single" w:sz="8" w:space="0" w:color="auto"/>
              <w:right w:val="single" w:sz="8" w:space="0" w:color="auto"/>
            </w:tcBorders>
          </w:tcPr>
          <w:p w14:paraId="4B762C48" w14:textId="77777777" w:rsidR="006059AE" w:rsidRPr="004B35EE" w:rsidRDefault="006059AE" w:rsidP="004052D0">
            <w:r w:rsidRPr="004B35EE">
              <w:t xml:space="preserve">Meteorology </w:t>
            </w:r>
          </w:p>
        </w:tc>
      </w:tr>
      <w:tr w:rsidR="006059AE" w:rsidRPr="004B35EE" w14:paraId="58955182" w14:textId="77777777" w:rsidTr="004052D0">
        <w:tc>
          <w:tcPr>
            <w:tcW w:w="980" w:type="dxa"/>
            <w:tcBorders>
              <w:top w:val="single" w:sz="8" w:space="0" w:color="auto"/>
              <w:left w:val="single" w:sz="8" w:space="0" w:color="auto"/>
              <w:bottom w:val="single" w:sz="8" w:space="0" w:color="auto"/>
              <w:right w:val="single" w:sz="8" w:space="0" w:color="auto"/>
            </w:tcBorders>
          </w:tcPr>
          <w:p w14:paraId="47C130F4" w14:textId="77777777" w:rsidR="006059AE" w:rsidRPr="004B35EE" w:rsidRDefault="006059AE" w:rsidP="004052D0">
            <w:pPr>
              <w:rPr>
                <w:szCs w:val="24"/>
              </w:rPr>
            </w:pPr>
            <w:r w:rsidRPr="004B35EE">
              <w:rPr>
                <w:szCs w:val="24"/>
              </w:rPr>
              <w:t>6</w:t>
            </w:r>
          </w:p>
        </w:tc>
        <w:tc>
          <w:tcPr>
            <w:tcW w:w="6840" w:type="dxa"/>
            <w:tcBorders>
              <w:top w:val="single" w:sz="8" w:space="0" w:color="auto"/>
              <w:left w:val="single" w:sz="8" w:space="0" w:color="auto"/>
              <w:bottom w:val="single" w:sz="8" w:space="0" w:color="auto"/>
              <w:right w:val="single" w:sz="8" w:space="0" w:color="auto"/>
            </w:tcBorders>
          </w:tcPr>
          <w:p w14:paraId="597FD861" w14:textId="77777777" w:rsidR="006059AE" w:rsidRPr="006059AE" w:rsidRDefault="006059AE" w:rsidP="004052D0">
            <w:pPr>
              <w:rPr>
                <w:szCs w:val="24"/>
              </w:rPr>
            </w:pPr>
            <w:r w:rsidRPr="006059AE">
              <w:rPr>
                <w:szCs w:val="24"/>
              </w:rPr>
              <w:t>Measure and Speciate N-containing and PM Emissions from Fuel Combustion</w:t>
            </w:r>
          </w:p>
        </w:tc>
        <w:tc>
          <w:tcPr>
            <w:tcW w:w="1530" w:type="dxa"/>
            <w:tcBorders>
              <w:top w:val="single" w:sz="8" w:space="0" w:color="auto"/>
              <w:left w:val="single" w:sz="8" w:space="0" w:color="auto"/>
              <w:bottom w:val="single" w:sz="8" w:space="0" w:color="auto"/>
              <w:right w:val="single" w:sz="8" w:space="0" w:color="auto"/>
            </w:tcBorders>
          </w:tcPr>
          <w:p w14:paraId="189CF5FB" w14:textId="77777777" w:rsidR="006059AE" w:rsidRPr="004B35EE" w:rsidRDefault="006059AE" w:rsidP="004052D0">
            <w:r w:rsidRPr="004B35EE">
              <w:rPr>
                <w:szCs w:val="24"/>
              </w:rPr>
              <w:t xml:space="preserve">Emissions </w:t>
            </w:r>
          </w:p>
        </w:tc>
      </w:tr>
      <w:tr w:rsidR="006059AE" w:rsidRPr="004B35EE" w14:paraId="5A7829E0" w14:textId="77777777" w:rsidTr="004052D0">
        <w:tc>
          <w:tcPr>
            <w:tcW w:w="980" w:type="dxa"/>
            <w:tcBorders>
              <w:top w:val="single" w:sz="8" w:space="0" w:color="auto"/>
              <w:left w:val="single" w:sz="8" w:space="0" w:color="auto"/>
              <w:bottom w:val="single" w:sz="8" w:space="0" w:color="auto"/>
              <w:right w:val="single" w:sz="8" w:space="0" w:color="auto"/>
            </w:tcBorders>
          </w:tcPr>
          <w:p w14:paraId="7364D252" w14:textId="77777777" w:rsidR="006059AE" w:rsidRPr="004B35EE" w:rsidRDefault="006059AE" w:rsidP="004052D0">
            <w:pPr>
              <w:rPr>
                <w:szCs w:val="24"/>
              </w:rPr>
            </w:pPr>
            <w:r w:rsidRPr="004B35EE">
              <w:rPr>
                <w:szCs w:val="24"/>
              </w:rPr>
              <w:t>7</w:t>
            </w:r>
          </w:p>
        </w:tc>
        <w:tc>
          <w:tcPr>
            <w:tcW w:w="6840" w:type="dxa"/>
            <w:tcBorders>
              <w:top w:val="single" w:sz="8" w:space="0" w:color="auto"/>
              <w:left w:val="single" w:sz="8" w:space="0" w:color="auto"/>
              <w:bottom w:val="single" w:sz="8" w:space="0" w:color="auto"/>
              <w:right w:val="single" w:sz="8" w:space="0" w:color="auto"/>
            </w:tcBorders>
          </w:tcPr>
          <w:p w14:paraId="7DE59BC8" w14:textId="77777777" w:rsidR="006059AE" w:rsidRPr="006059AE" w:rsidRDefault="006059AE" w:rsidP="004052D0">
            <w:pPr>
              <w:rPr>
                <w:szCs w:val="24"/>
              </w:rPr>
            </w:pPr>
            <w:r w:rsidRPr="006059AE">
              <w:t>OA (SOA) Temperature Dependence</w:t>
            </w:r>
          </w:p>
        </w:tc>
        <w:tc>
          <w:tcPr>
            <w:tcW w:w="1530" w:type="dxa"/>
            <w:tcBorders>
              <w:top w:val="single" w:sz="8" w:space="0" w:color="auto"/>
              <w:left w:val="single" w:sz="8" w:space="0" w:color="auto"/>
              <w:bottom w:val="single" w:sz="8" w:space="0" w:color="auto"/>
              <w:right w:val="single" w:sz="8" w:space="0" w:color="auto"/>
            </w:tcBorders>
          </w:tcPr>
          <w:p w14:paraId="6C963B91" w14:textId="77777777" w:rsidR="006059AE" w:rsidRPr="004B35EE" w:rsidRDefault="006059AE" w:rsidP="004052D0">
            <w:pPr>
              <w:rPr>
                <w:szCs w:val="24"/>
              </w:rPr>
            </w:pPr>
            <w:r w:rsidRPr="004B35EE">
              <w:t>Chemistry</w:t>
            </w:r>
          </w:p>
        </w:tc>
      </w:tr>
      <w:tr w:rsidR="006059AE" w:rsidRPr="004B35EE" w14:paraId="1D345698" w14:textId="77777777" w:rsidTr="004052D0">
        <w:tc>
          <w:tcPr>
            <w:tcW w:w="980" w:type="dxa"/>
            <w:tcBorders>
              <w:top w:val="single" w:sz="8" w:space="0" w:color="auto"/>
              <w:left w:val="single" w:sz="8" w:space="0" w:color="auto"/>
              <w:bottom w:val="single" w:sz="8" w:space="0" w:color="auto"/>
              <w:right w:val="single" w:sz="8" w:space="0" w:color="auto"/>
            </w:tcBorders>
          </w:tcPr>
          <w:p w14:paraId="4EEB6E7C" w14:textId="77777777" w:rsidR="006059AE" w:rsidRPr="004B35EE" w:rsidRDefault="006059AE" w:rsidP="004052D0">
            <w:pPr>
              <w:rPr>
                <w:szCs w:val="24"/>
              </w:rPr>
            </w:pPr>
            <w:r w:rsidRPr="004B35EE">
              <w:rPr>
                <w:szCs w:val="24"/>
              </w:rPr>
              <w:t>8</w:t>
            </w:r>
          </w:p>
        </w:tc>
        <w:tc>
          <w:tcPr>
            <w:tcW w:w="6840" w:type="dxa"/>
            <w:tcBorders>
              <w:top w:val="single" w:sz="8" w:space="0" w:color="auto"/>
              <w:left w:val="single" w:sz="8" w:space="0" w:color="auto"/>
              <w:bottom w:val="single" w:sz="8" w:space="0" w:color="auto"/>
              <w:right w:val="single" w:sz="8" w:space="0" w:color="auto"/>
            </w:tcBorders>
          </w:tcPr>
          <w:p w14:paraId="38FA6B68" w14:textId="77777777" w:rsidR="006059AE" w:rsidRPr="006059AE" w:rsidRDefault="006059AE" w:rsidP="004052D0">
            <w:pPr>
              <w:rPr>
                <w:szCs w:val="24"/>
              </w:rPr>
            </w:pPr>
            <w:r w:rsidRPr="006059AE">
              <w:rPr>
                <w:rFonts w:eastAsia="Calibri"/>
                <w:szCs w:val="24"/>
              </w:rPr>
              <w:t>Urban Biogenic Emissions</w:t>
            </w:r>
          </w:p>
        </w:tc>
        <w:tc>
          <w:tcPr>
            <w:tcW w:w="1530" w:type="dxa"/>
            <w:tcBorders>
              <w:top w:val="single" w:sz="8" w:space="0" w:color="auto"/>
              <w:left w:val="single" w:sz="8" w:space="0" w:color="auto"/>
              <w:bottom w:val="single" w:sz="8" w:space="0" w:color="auto"/>
              <w:right w:val="single" w:sz="8" w:space="0" w:color="auto"/>
            </w:tcBorders>
          </w:tcPr>
          <w:p w14:paraId="79F73EE2" w14:textId="77777777" w:rsidR="006059AE" w:rsidRPr="004B35EE" w:rsidRDefault="006059AE" w:rsidP="004052D0">
            <w:r w:rsidRPr="004B35EE">
              <w:rPr>
                <w:rFonts w:eastAsia="Calibri"/>
                <w:szCs w:val="24"/>
              </w:rPr>
              <w:t>Emissions</w:t>
            </w:r>
          </w:p>
        </w:tc>
      </w:tr>
      <w:tr w:rsidR="006059AE" w:rsidRPr="004B35EE" w14:paraId="50415FAB" w14:textId="77777777" w:rsidTr="004052D0">
        <w:tc>
          <w:tcPr>
            <w:tcW w:w="980" w:type="dxa"/>
            <w:tcBorders>
              <w:top w:val="single" w:sz="8" w:space="0" w:color="auto"/>
              <w:left w:val="single" w:sz="8" w:space="0" w:color="auto"/>
              <w:bottom w:val="single" w:sz="8" w:space="0" w:color="auto"/>
              <w:right w:val="single" w:sz="8" w:space="0" w:color="auto"/>
            </w:tcBorders>
          </w:tcPr>
          <w:p w14:paraId="7BEACDAC" w14:textId="77777777" w:rsidR="006059AE" w:rsidRPr="004B35EE" w:rsidRDefault="006059AE" w:rsidP="004052D0">
            <w:pPr>
              <w:rPr>
                <w:szCs w:val="24"/>
              </w:rPr>
            </w:pPr>
            <w:r w:rsidRPr="004B35EE">
              <w:rPr>
                <w:szCs w:val="24"/>
              </w:rPr>
              <w:t>8 (tie)</w:t>
            </w:r>
          </w:p>
        </w:tc>
        <w:tc>
          <w:tcPr>
            <w:tcW w:w="6840" w:type="dxa"/>
            <w:tcBorders>
              <w:top w:val="single" w:sz="8" w:space="0" w:color="auto"/>
              <w:left w:val="single" w:sz="8" w:space="0" w:color="auto"/>
              <w:bottom w:val="single" w:sz="8" w:space="0" w:color="auto"/>
              <w:right w:val="single" w:sz="8" w:space="0" w:color="auto"/>
            </w:tcBorders>
          </w:tcPr>
          <w:p w14:paraId="79E1321F" w14:textId="77777777" w:rsidR="006059AE" w:rsidRPr="006059AE" w:rsidRDefault="006059AE" w:rsidP="004052D0">
            <w:pPr>
              <w:rPr>
                <w:szCs w:val="24"/>
              </w:rPr>
            </w:pPr>
            <w:r w:rsidRPr="006059AE">
              <w:t>Gas-Phase Mechanism Evaluation</w:t>
            </w:r>
          </w:p>
        </w:tc>
        <w:tc>
          <w:tcPr>
            <w:tcW w:w="1530" w:type="dxa"/>
            <w:tcBorders>
              <w:top w:val="single" w:sz="8" w:space="0" w:color="auto"/>
              <w:left w:val="single" w:sz="8" w:space="0" w:color="auto"/>
              <w:bottom w:val="single" w:sz="8" w:space="0" w:color="auto"/>
              <w:right w:val="single" w:sz="8" w:space="0" w:color="auto"/>
            </w:tcBorders>
          </w:tcPr>
          <w:p w14:paraId="4F4CCC2B" w14:textId="77777777" w:rsidR="006059AE" w:rsidRPr="004B35EE" w:rsidRDefault="006059AE" w:rsidP="004052D0">
            <w:r w:rsidRPr="004B35EE">
              <w:t>Chemistry</w:t>
            </w:r>
          </w:p>
        </w:tc>
      </w:tr>
      <w:tr w:rsidR="006059AE" w:rsidRPr="004B35EE" w14:paraId="7EC5A186" w14:textId="77777777" w:rsidTr="004052D0">
        <w:tc>
          <w:tcPr>
            <w:tcW w:w="980" w:type="dxa"/>
            <w:tcBorders>
              <w:top w:val="single" w:sz="8" w:space="0" w:color="auto"/>
              <w:left w:val="single" w:sz="8" w:space="0" w:color="auto"/>
              <w:bottom w:val="single" w:sz="8" w:space="0" w:color="auto"/>
              <w:right w:val="single" w:sz="8" w:space="0" w:color="auto"/>
            </w:tcBorders>
          </w:tcPr>
          <w:p w14:paraId="76FFF8FC" w14:textId="77777777" w:rsidR="006059AE" w:rsidRPr="004B35EE" w:rsidRDefault="006059AE" w:rsidP="004052D0">
            <w:pPr>
              <w:rPr>
                <w:szCs w:val="24"/>
              </w:rPr>
            </w:pPr>
            <w:r w:rsidRPr="004B35EE">
              <w:rPr>
                <w:szCs w:val="24"/>
              </w:rPr>
              <w:t>10</w:t>
            </w:r>
          </w:p>
        </w:tc>
        <w:tc>
          <w:tcPr>
            <w:tcW w:w="6840" w:type="dxa"/>
            <w:tcBorders>
              <w:top w:val="single" w:sz="8" w:space="0" w:color="auto"/>
              <w:left w:val="single" w:sz="8" w:space="0" w:color="auto"/>
              <w:bottom w:val="single" w:sz="8" w:space="0" w:color="auto"/>
              <w:right w:val="single" w:sz="8" w:space="0" w:color="auto"/>
            </w:tcBorders>
          </w:tcPr>
          <w:p w14:paraId="54FFE1E4" w14:textId="77777777" w:rsidR="006059AE" w:rsidRPr="006059AE" w:rsidRDefault="006059AE" w:rsidP="004052D0">
            <w:pPr>
              <w:rPr>
                <w:szCs w:val="24"/>
              </w:rPr>
            </w:pPr>
            <w:r w:rsidRPr="006059AE">
              <w:t>Characterization of Global Scale Processes that Act as Boundary Conditions for Cities</w:t>
            </w:r>
          </w:p>
        </w:tc>
        <w:tc>
          <w:tcPr>
            <w:tcW w:w="1530" w:type="dxa"/>
            <w:tcBorders>
              <w:top w:val="single" w:sz="8" w:space="0" w:color="auto"/>
              <w:left w:val="single" w:sz="8" w:space="0" w:color="auto"/>
              <w:bottom w:val="single" w:sz="8" w:space="0" w:color="auto"/>
              <w:right w:val="single" w:sz="8" w:space="0" w:color="auto"/>
            </w:tcBorders>
          </w:tcPr>
          <w:p w14:paraId="7789DBE4" w14:textId="77777777" w:rsidR="006059AE" w:rsidRPr="004B35EE" w:rsidRDefault="006059AE" w:rsidP="004052D0">
            <w:r w:rsidRPr="004B35EE">
              <w:t>Modeling</w:t>
            </w:r>
          </w:p>
        </w:tc>
      </w:tr>
    </w:tbl>
    <w:p w14:paraId="1497DE89" w14:textId="77777777" w:rsidR="006059AE" w:rsidRDefault="006059AE" w:rsidP="00E72DA7">
      <w:pPr>
        <w:jc w:val="center"/>
        <w:rPr>
          <w:b/>
          <w:u w:val="single"/>
        </w:rPr>
      </w:pPr>
    </w:p>
    <w:p w14:paraId="343C483E" w14:textId="77777777" w:rsidR="00971AB4" w:rsidRDefault="00971AB4" w:rsidP="00E72DA7">
      <w:pPr>
        <w:jc w:val="center"/>
        <w:rPr>
          <w:b/>
          <w:u w:val="single"/>
        </w:rPr>
      </w:pPr>
    </w:p>
    <w:p w14:paraId="77E022A5" w14:textId="77777777" w:rsidR="00971AB4" w:rsidRDefault="00971AB4" w:rsidP="00E72DA7">
      <w:pPr>
        <w:jc w:val="center"/>
        <w:rPr>
          <w:b/>
          <w:u w:val="single"/>
        </w:rPr>
      </w:pPr>
    </w:p>
    <w:p w14:paraId="199D2401" w14:textId="79D44562" w:rsidR="006059AE" w:rsidRDefault="00971AB4" w:rsidP="00971AB4">
      <w:pPr>
        <w:rPr>
          <w:b/>
          <w:u w:val="single"/>
        </w:rPr>
      </w:pPr>
      <w:r w:rsidRPr="00971AB4">
        <w:rPr>
          <w:bCs/>
        </w:rPr>
        <w:t>*</w:t>
      </w:r>
      <w:r w:rsidRPr="00971AB4">
        <w:rPr>
          <w:i/>
          <w:iCs/>
        </w:rPr>
        <w:t>Out of Scope</w:t>
      </w:r>
      <w:r>
        <w:rPr>
          <w:i/>
          <w:iCs/>
        </w:rPr>
        <w:t xml:space="preserve"> for CRC Research</w:t>
      </w:r>
      <w:r w:rsidR="006059AE">
        <w:rPr>
          <w:b/>
          <w:u w:val="single"/>
        </w:rPr>
        <w:br w:type="page"/>
      </w:r>
    </w:p>
    <w:p w14:paraId="4AF2B777" w14:textId="6B9F52A5" w:rsidR="00403547" w:rsidRDefault="00E72DA7" w:rsidP="00E72DA7">
      <w:pPr>
        <w:jc w:val="center"/>
        <w:rPr>
          <w:b/>
          <w:u w:val="single"/>
        </w:rPr>
      </w:pPr>
      <w:r>
        <w:rPr>
          <w:b/>
          <w:u w:val="single"/>
        </w:rPr>
        <w:lastRenderedPageBreak/>
        <w:t>A</w:t>
      </w:r>
      <w:r w:rsidR="00A62816">
        <w:rPr>
          <w:b/>
          <w:u w:val="single"/>
        </w:rPr>
        <w:t xml:space="preserve">ppendix </w:t>
      </w:r>
      <w:r w:rsidR="006059AE">
        <w:rPr>
          <w:b/>
          <w:u w:val="single"/>
        </w:rPr>
        <w:t>2</w:t>
      </w:r>
    </w:p>
    <w:p w14:paraId="5C753349" w14:textId="77777777" w:rsidR="00E72DA7" w:rsidRDefault="00E72DA7" w:rsidP="00E72DA7">
      <w:pPr>
        <w:jc w:val="center"/>
        <w:rPr>
          <w:b/>
          <w:u w:val="single"/>
        </w:rPr>
      </w:pPr>
    </w:p>
    <w:p w14:paraId="173D564E" w14:textId="77777777" w:rsidR="00493FC5" w:rsidRDefault="00493FC5" w:rsidP="00493FC5">
      <w:pPr>
        <w:rPr>
          <w:b/>
          <w:bCs/>
          <w:szCs w:val="24"/>
        </w:rPr>
      </w:pPr>
      <w:r w:rsidRPr="00805B66">
        <w:rPr>
          <w:b/>
          <w:bCs/>
          <w:szCs w:val="24"/>
        </w:rPr>
        <w:t>2018 Southern California Ozone Research Symposium; Top 5 Research Needs</w:t>
      </w:r>
    </w:p>
    <w:p w14:paraId="2724BF8F" w14:textId="77777777" w:rsidR="00941DD9" w:rsidRDefault="00941DD9" w:rsidP="00493FC5">
      <w:pPr>
        <w:rPr>
          <w:b/>
          <w:u w:val="single"/>
        </w:rPr>
      </w:pPr>
      <w:r w:rsidRPr="00941DD9">
        <w:rPr>
          <w:b/>
          <w:bCs/>
          <w:i/>
          <w:szCs w:val="24"/>
        </w:rPr>
        <w:t>NOTE:</w:t>
      </w:r>
      <w:r>
        <w:rPr>
          <w:b/>
          <w:bCs/>
          <w:szCs w:val="24"/>
        </w:rPr>
        <w:t xml:space="preserve"> These do not need to be Southern CA specific projects.</w:t>
      </w:r>
    </w:p>
    <w:tbl>
      <w:tblPr>
        <w:tblStyle w:val="TableGrid"/>
        <w:tblW w:w="0" w:type="auto"/>
        <w:tblLook w:val="04A0" w:firstRow="1" w:lastRow="0" w:firstColumn="1" w:lastColumn="0" w:noHBand="0" w:noVBand="1"/>
      </w:tblPr>
      <w:tblGrid>
        <w:gridCol w:w="636"/>
        <w:gridCol w:w="8301"/>
        <w:gridCol w:w="1133"/>
      </w:tblGrid>
      <w:tr w:rsidR="00493FC5" w:rsidRPr="00000CE3" w14:paraId="3BC51701" w14:textId="77777777" w:rsidTr="008A01E4">
        <w:tc>
          <w:tcPr>
            <w:tcW w:w="445" w:type="dxa"/>
          </w:tcPr>
          <w:p w14:paraId="47D5A6E4" w14:textId="77777777" w:rsidR="00493FC5" w:rsidRPr="00000CE3" w:rsidRDefault="00493FC5" w:rsidP="00A844EC">
            <w:pPr>
              <w:rPr>
                <w:b/>
              </w:rPr>
            </w:pPr>
            <w:r w:rsidRPr="00000CE3">
              <w:rPr>
                <w:b/>
              </w:rPr>
              <w:t>No.</w:t>
            </w:r>
          </w:p>
        </w:tc>
        <w:tc>
          <w:tcPr>
            <w:tcW w:w="9146" w:type="dxa"/>
          </w:tcPr>
          <w:p w14:paraId="6A705FC7" w14:textId="77777777" w:rsidR="00493FC5" w:rsidRPr="00000CE3" w:rsidRDefault="00493FC5" w:rsidP="00A844EC">
            <w:pPr>
              <w:rPr>
                <w:b/>
              </w:rPr>
            </w:pPr>
            <w:r w:rsidRPr="00000CE3">
              <w:rPr>
                <w:b/>
              </w:rPr>
              <w:t>Subject</w:t>
            </w:r>
          </w:p>
        </w:tc>
        <w:tc>
          <w:tcPr>
            <w:tcW w:w="479" w:type="dxa"/>
          </w:tcPr>
          <w:p w14:paraId="74174528" w14:textId="77777777" w:rsidR="00493FC5" w:rsidRPr="00000CE3" w:rsidRDefault="00493FC5" w:rsidP="00A844EC">
            <w:pPr>
              <w:rPr>
                <w:b/>
              </w:rPr>
            </w:pPr>
            <w:r w:rsidRPr="00000CE3">
              <w:rPr>
                <w:b/>
              </w:rPr>
              <w:t>Topic</w:t>
            </w:r>
          </w:p>
        </w:tc>
      </w:tr>
      <w:tr w:rsidR="00493FC5" w:rsidRPr="00000CE3" w14:paraId="2DFC660D" w14:textId="77777777" w:rsidTr="008A01E4">
        <w:tc>
          <w:tcPr>
            <w:tcW w:w="445" w:type="dxa"/>
          </w:tcPr>
          <w:p w14:paraId="1310446D" w14:textId="77777777" w:rsidR="00493FC5" w:rsidRPr="00000CE3" w:rsidRDefault="00493FC5" w:rsidP="00A844EC">
            <w:pPr>
              <w:tabs>
                <w:tab w:val="left" w:pos="360"/>
              </w:tabs>
              <w:jc w:val="both"/>
            </w:pPr>
            <w:r>
              <w:t>1.01</w:t>
            </w:r>
          </w:p>
        </w:tc>
        <w:tc>
          <w:tcPr>
            <w:tcW w:w="9146" w:type="dxa"/>
          </w:tcPr>
          <w:p w14:paraId="721DD2E0" w14:textId="77777777" w:rsidR="00493FC5" w:rsidRPr="00000CE3" w:rsidRDefault="00493FC5" w:rsidP="00541555">
            <w:r w:rsidRPr="00805B66">
              <w:rPr>
                <w:rFonts w:eastAsiaTheme="minorEastAsia"/>
                <w:sz w:val="22"/>
                <w:szCs w:val="22"/>
              </w:rPr>
              <w:t xml:space="preserve">Observational response of ozone to changes in NOx and VOC </w:t>
            </w:r>
            <w:r w:rsidR="00541555">
              <w:rPr>
                <w:rFonts w:eastAsiaTheme="minorEastAsia"/>
                <w:sz w:val="22"/>
                <w:szCs w:val="22"/>
              </w:rPr>
              <w:br/>
            </w:r>
            <w:r w:rsidR="008A01E4" w:rsidRPr="008A01E4">
              <w:rPr>
                <w:rFonts w:ascii="Arial Narrow" w:eastAsiaTheme="minorEastAsia" w:hAnsi="Arial Narrow"/>
              </w:rPr>
              <w:t xml:space="preserve">More experimental data are needed to characterize the real-world relationships between NOx and VOC transformation to ozone.  Examples of experimental approaches are projects such as in-situ, dual-chamber observations and experimentation at several ground sites, and aircraft surveys to understand spatial patterns.  Some aircraft data are available that could be analyzed further, such as data from the California Air Resources Board’s </w:t>
            </w:r>
            <w:proofErr w:type="spellStart"/>
            <w:r w:rsidR="008A01E4" w:rsidRPr="008A01E4">
              <w:rPr>
                <w:rFonts w:ascii="Arial Narrow" w:eastAsiaTheme="minorEastAsia" w:hAnsi="Arial Narrow"/>
              </w:rPr>
              <w:t>CalNex</w:t>
            </w:r>
            <w:proofErr w:type="spellEnd"/>
            <w:r w:rsidR="008A01E4" w:rsidRPr="008A01E4">
              <w:rPr>
                <w:rFonts w:ascii="Arial Narrow" w:eastAsiaTheme="minorEastAsia" w:hAnsi="Arial Narrow"/>
              </w:rPr>
              <w:t xml:space="preserve"> program.  New flight monitoring precursor concentration information is needed to measure and analyze the current ozone air quality regime.</w:t>
            </w:r>
          </w:p>
        </w:tc>
        <w:tc>
          <w:tcPr>
            <w:tcW w:w="479" w:type="dxa"/>
          </w:tcPr>
          <w:p w14:paraId="7D2FCDF0" w14:textId="77777777" w:rsidR="00493FC5" w:rsidRPr="00000CE3" w:rsidRDefault="00493FC5" w:rsidP="00A844EC">
            <w:r w:rsidRPr="00805B66">
              <w:rPr>
                <w:rFonts w:eastAsiaTheme="minorEastAsia"/>
                <w:sz w:val="22"/>
                <w:szCs w:val="22"/>
              </w:rPr>
              <w:t>Chemistry</w:t>
            </w:r>
          </w:p>
        </w:tc>
      </w:tr>
      <w:tr w:rsidR="00493FC5" w:rsidRPr="00000CE3" w14:paraId="1A123804" w14:textId="77777777" w:rsidTr="008A01E4">
        <w:tc>
          <w:tcPr>
            <w:tcW w:w="445" w:type="dxa"/>
          </w:tcPr>
          <w:p w14:paraId="46E3CFEC" w14:textId="77777777" w:rsidR="00493FC5" w:rsidRPr="00000CE3" w:rsidRDefault="00493FC5" w:rsidP="00A844EC">
            <w:pPr>
              <w:tabs>
                <w:tab w:val="left" w:pos="360"/>
              </w:tabs>
              <w:jc w:val="both"/>
            </w:pPr>
            <w:r>
              <w:t>1.02</w:t>
            </w:r>
          </w:p>
        </w:tc>
        <w:tc>
          <w:tcPr>
            <w:tcW w:w="9146" w:type="dxa"/>
          </w:tcPr>
          <w:p w14:paraId="2CAC6A5A" w14:textId="77777777" w:rsidR="00493FC5" w:rsidRDefault="00493FC5" w:rsidP="00541555">
            <w:pPr>
              <w:rPr>
                <w:sz w:val="22"/>
                <w:szCs w:val="22"/>
              </w:rPr>
            </w:pPr>
            <w:r w:rsidRPr="00805B66">
              <w:rPr>
                <w:sz w:val="22"/>
                <w:szCs w:val="22"/>
              </w:rPr>
              <w:t>Short, medium and long-term relationships and evaluation of ozone</w:t>
            </w:r>
            <w:r>
              <w:rPr>
                <w:sz w:val="22"/>
                <w:szCs w:val="22"/>
              </w:rPr>
              <w:t xml:space="preserve"> with meteorology</w:t>
            </w:r>
          </w:p>
          <w:p w14:paraId="6D78BB76" w14:textId="77777777" w:rsidR="00541555" w:rsidRPr="00541555" w:rsidRDefault="008A01E4" w:rsidP="00541555">
            <w:pPr>
              <w:rPr>
                <w:rFonts w:ascii="Arial Narrow" w:hAnsi="Arial Narrow"/>
              </w:rPr>
            </w:pPr>
            <w:r w:rsidRPr="008A01E4">
              <w:rPr>
                <w:rFonts w:ascii="Arial Narrow" w:hAnsi="Arial Narrow"/>
              </w:rPr>
              <w:t xml:space="preserve">More accurate characterization of the meteorological parameters is needed to better capture their influence on air quality variability over daily to decadal </w:t>
            </w:r>
            <w:proofErr w:type="gramStart"/>
            <w:r w:rsidRPr="008A01E4">
              <w:rPr>
                <w:rFonts w:ascii="Arial Narrow" w:hAnsi="Arial Narrow"/>
              </w:rPr>
              <w:t>time-scales</w:t>
            </w:r>
            <w:proofErr w:type="gramEnd"/>
            <w:r w:rsidRPr="008A01E4">
              <w:rPr>
                <w:rFonts w:ascii="Arial Narrow" w:hAnsi="Arial Narrow"/>
              </w:rPr>
              <w:t>.  Errors in meteorological fields used to drive air pollution models can influence the model’s ability to accurately estimate air quality trends, thus affecting researchers’ ability to make accurate inferences on plausible factors dictating discrepancies between model and observed trends. For instance, systematic low bias in early morning surface wind speeds could artificially overestimate model NOx, which may over</w:t>
            </w:r>
            <w:proofErr w:type="gramStart"/>
            <w:r w:rsidRPr="008A01E4">
              <w:rPr>
                <w:rFonts w:ascii="Arial Narrow" w:hAnsi="Arial Narrow"/>
              </w:rPr>
              <w:t>- attribute</w:t>
            </w:r>
            <w:proofErr w:type="gramEnd"/>
            <w:r w:rsidRPr="008A01E4">
              <w:rPr>
                <w:rFonts w:ascii="Arial Narrow" w:hAnsi="Arial Narrow"/>
              </w:rPr>
              <w:t xml:space="preserve"> errors in mobile emissions. Similarly biases in temperature, radiation, ventilation, and air-surface exchange can influence biases in predicted air pollutant concentrations. These relationships must be characterized more accurately over short, medium, and long-time scales, so that more robust inferences on model-predicted changes in air quality can be made.</w:t>
            </w:r>
          </w:p>
        </w:tc>
        <w:tc>
          <w:tcPr>
            <w:tcW w:w="479" w:type="dxa"/>
          </w:tcPr>
          <w:p w14:paraId="4BBC839F" w14:textId="77777777" w:rsidR="00493FC5" w:rsidRPr="00000CE3" w:rsidRDefault="00493FC5" w:rsidP="00A844EC">
            <w:r w:rsidRPr="00805B66">
              <w:rPr>
                <w:sz w:val="22"/>
                <w:szCs w:val="22"/>
              </w:rPr>
              <w:t>Modeling</w:t>
            </w:r>
          </w:p>
        </w:tc>
      </w:tr>
      <w:tr w:rsidR="00493FC5" w:rsidRPr="00000CE3" w14:paraId="2236A74C" w14:textId="77777777" w:rsidTr="008A01E4">
        <w:tc>
          <w:tcPr>
            <w:tcW w:w="445" w:type="dxa"/>
          </w:tcPr>
          <w:p w14:paraId="47FBAF58" w14:textId="77777777" w:rsidR="00493FC5" w:rsidRPr="00000CE3" w:rsidRDefault="00493FC5" w:rsidP="00A844EC">
            <w:pPr>
              <w:tabs>
                <w:tab w:val="left" w:pos="360"/>
              </w:tabs>
              <w:jc w:val="both"/>
            </w:pPr>
            <w:r>
              <w:t>1.03</w:t>
            </w:r>
          </w:p>
        </w:tc>
        <w:tc>
          <w:tcPr>
            <w:tcW w:w="9146" w:type="dxa"/>
          </w:tcPr>
          <w:p w14:paraId="1D829E29" w14:textId="77777777" w:rsidR="00493FC5" w:rsidRDefault="00493FC5" w:rsidP="00541555">
            <w:pPr>
              <w:rPr>
                <w:rFonts w:eastAsiaTheme="minorEastAsia"/>
                <w:sz w:val="22"/>
                <w:szCs w:val="22"/>
              </w:rPr>
            </w:pPr>
            <w:r>
              <w:rPr>
                <w:rFonts w:eastAsiaTheme="minorEastAsia"/>
                <w:sz w:val="22"/>
                <w:szCs w:val="22"/>
              </w:rPr>
              <w:t>Mobile Source Emissions</w:t>
            </w:r>
          </w:p>
          <w:p w14:paraId="36FA408B" w14:textId="77777777" w:rsidR="00541555" w:rsidRPr="00000CE3" w:rsidRDefault="008A01E4" w:rsidP="00541555">
            <w:r w:rsidRPr="008A01E4">
              <w:rPr>
                <w:rFonts w:ascii="Arial Narrow" w:hAnsi="Arial Narrow"/>
              </w:rPr>
              <w:t>Research is needed to identify data gaps to accurately characterize variability in heavy-duty vehicle (HDV) emissions and how to temporally and spatially allocate these emissions.  Data is needed to understand how HDVs equipped with selective catalytic reduction deteriorate based on maintenance intervals.  Satellite trend data could be used for gathering the emissions information.</w:t>
            </w:r>
            <w:r>
              <w:rPr>
                <w:rFonts w:ascii="Arial Narrow" w:hAnsi="Arial Narrow"/>
              </w:rPr>
              <w:t xml:space="preserve">  NOTE: This is not intended to be a Real World Emissions Project.</w:t>
            </w:r>
          </w:p>
        </w:tc>
        <w:tc>
          <w:tcPr>
            <w:tcW w:w="479" w:type="dxa"/>
          </w:tcPr>
          <w:p w14:paraId="398AF06F" w14:textId="77777777" w:rsidR="00493FC5" w:rsidRPr="00000CE3" w:rsidRDefault="00493FC5" w:rsidP="00A844EC">
            <w:r w:rsidRPr="00805B66">
              <w:rPr>
                <w:rFonts w:eastAsiaTheme="minorEastAsia"/>
                <w:sz w:val="22"/>
                <w:szCs w:val="22"/>
              </w:rPr>
              <w:t>Emissions</w:t>
            </w:r>
          </w:p>
        </w:tc>
      </w:tr>
      <w:tr w:rsidR="00493FC5" w:rsidRPr="00000CE3" w14:paraId="7CFD32F7" w14:textId="77777777" w:rsidTr="008A01E4">
        <w:tc>
          <w:tcPr>
            <w:tcW w:w="445" w:type="dxa"/>
          </w:tcPr>
          <w:p w14:paraId="25BCC156" w14:textId="77777777" w:rsidR="00493FC5" w:rsidRPr="00000CE3" w:rsidRDefault="00493FC5" w:rsidP="00A844EC">
            <w:pPr>
              <w:tabs>
                <w:tab w:val="left" w:pos="360"/>
              </w:tabs>
              <w:jc w:val="both"/>
            </w:pPr>
            <w:r>
              <w:t>1.04</w:t>
            </w:r>
          </w:p>
        </w:tc>
        <w:tc>
          <w:tcPr>
            <w:tcW w:w="9146" w:type="dxa"/>
          </w:tcPr>
          <w:p w14:paraId="5551D8F5" w14:textId="77777777" w:rsidR="00493FC5" w:rsidRDefault="00493FC5" w:rsidP="00541555">
            <w:pPr>
              <w:rPr>
                <w:rFonts w:eastAsiaTheme="minorEastAsia"/>
                <w:sz w:val="22"/>
                <w:szCs w:val="22"/>
              </w:rPr>
            </w:pPr>
            <w:r>
              <w:rPr>
                <w:rFonts w:eastAsiaTheme="minorEastAsia"/>
                <w:sz w:val="22"/>
                <w:szCs w:val="22"/>
              </w:rPr>
              <w:t>Biogenic Vegetation</w:t>
            </w:r>
          </w:p>
          <w:p w14:paraId="3FFD0B3E" w14:textId="77777777" w:rsidR="00541555" w:rsidRPr="00000CE3" w:rsidRDefault="008A01E4" w:rsidP="00541555">
            <w:r w:rsidRPr="008A01E4">
              <w:rPr>
                <w:rFonts w:ascii="Arial Narrow" w:hAnsi="Arial Narrow"/>
              </w:rPr>
              <w:t xml:space="preserve">Improved characterization of the Southern California coastal area biogenic vegetation coverage is needed particularly because it is urban and changing.  The drought and flood cycles create changes in vegetation type and amount of area covered.  Research is also needed to determine how the biogenic vegetation chemical speciation has </w:t>
            </w:r>
            <w:proofErr w:type="gramStart"/>
            <w:r w:rsidRPr="008A01E4">
              <w:rPr>
                <w:rFonts w:ascii="Arial Narrow" w:hAnsi="Arial Narrow"/>
              </w:rPr>
              <w:t>changed.</w:t>
            </w:r>
            <w:r w:rsidR="00541555" w:rsidRPr="00541555">
              <w:rPr>
                <w:rFonts w:ascii="Arial Narrow" w:hAnsi="Arial Narrow"/>
              </w:rPr>
              <w:t>.</w:t>
            </w:r>
            <w:proofErr w:type="gramEnd"/>
          </w:p>
        </w:tc>
        <w:tc>
          <w:tcPr>
            <w:tcW w:w="479" w:type="dxa"/>
          </w:tcPr>
          <w:p w14:paraId="69A51400" w14:textId="77777777" w:rsidR="00493FC5" w:rsidRPr="00000CE3" w:rsidRDefault="00493FC5" w:rsidP="00A844EC">
            <w:r w:rsidRPr="00805B66">
              <w:rPr>
                <w:rFonts w:eastAsiaTheme="minorEastAsia"/>
                <w:sz w:val="22"/>
                <w:szCs w:val="22"/>
              </w:rPr>
              <w:t>Emissions</w:t>
            </w:r>
          </w:p>
        </w:tc>
      </w:tr>
      <w:tr w:rsidR="00493FC5" w:rsidRPr="00000CE3" w14:paraId="15622CAB" w14:textId="77777777" w:rsidTr="008A01E4">
        <w:tc>
          <w:tcPr>
            <w:tcW w:w="445" w:type="dxa"/>
          </w:tcPr>
          <w:p w14:paraId="18992E4F" w14:textId="77777777" w:rsidR="00493FC5" w:rsidRPr="00000CE3" w:rsidRDefault="00493FC5" w:rsidP="00A844EC">
            <w:pPr>
              <w:tabs>
                <w:tab w:val="left" w:pos="360"/>
              </w:tabs>
              <w:jc w:val="both"/>
            </w:pPr>
            <w:r>
              <w:t>1.05</w:t>
            </w:r>
          </w:p>
        </w:tc>
        <w:tc>
          <w:tcPr>
            <w:tcW w:w="9146" w:type="dxa"/>
          </w:tcPr>
          <w:p w14:paraId="47925AD9" w14:textId="77777777" w:rsidR="00493FC5" w:rsidRDefault="00493FC5" w:rsidP="00541555">
            <w:pPr>
              <w:rPr>
                <w:rFonts w:eastAsiaTheme="minorEastAsia"/>
                <w:sz w:val="22"/>
                <w:szCs w:val="22"/>
              </w:rPr>
            </w:pPr>
            <w:r w:rsidRPr="00805B66">
              <w:rPr>
                <w:rFonts w:eastAsiaTheme="minorEastAsia"/>
                <w:sz w:val="22"/>
                <w:szCs w:val="22"/>
              </w:rPr>
              <w:t xml:space="preserve">Dynamical Model Evaluation </w:t>
            </w:r>
            <w:r>
              <w:rPr>
                <w:rFonts w:eastAsiaTheme="minorEastAsia"/>
                <w:sz w:val="22"/>
                <w:szCs w:val="22"/>
              </w:rPr>
              <w:t>(</w:t>
            </w:r>
            <w:r w:rsidRPr="00805B66">
              <w:rPr>
                <w:rFonts w:eastAsiaTheme="minorEastAsia"/>
                <w:sz w:val="22"/>
                <w:szCs w:val="22"/>
              </w:rPr>
              <w:t>in Southern</w:t>
            </w:r>
            <w:r>
              <w:rPr>
                <w:rFonts w:eastAsiaTheme="minorEastAsia"/>
                <w:sz w:val="22"/>
                <w:szCs w:val="22"/>
              </w:rPr>
              <w:t xml:space="preserve"> California)</w:t>
            </w:r>
          </w:p>
          <w:p w14:paraId="54B421FB" w14:textId="77777777" w:rsidR="00541555" w:rsidRPr="00000CE3" w:rsidRDefault="008A01E4" w:rsidP="00541555">
            <w:r w:rsidRPr="008A01E4">
              <w:rPr>
                <w:rFonts w:ascii="Arial Narrow" w:hAnsi="Arial Narrow"/>
              </w:rPr>
              <w:t xml:space="preserve">Chemical transport models (CTM) are used to assess control effectiveness and demonstrate future attainment.  Required levels of emission control are pushing models toward chemical regimes where the CTMs have not been robustly evaluated.  Multi-decadal periods witnessing significant technological and emission changes could be analyzed to determine the trends in the ozone decline, plateau, and uptick.  Trends in precursor species and other secondary pollutants should be analyzed along with trends in background ozone and long-range transport contributions.  Efforts should be devoted </w:t>
            </w:r>
            <w:proofErr w:type="gramStart"/>
            <w:r w:rsidRPr="008A01E4">
              <w:rPr>
                <w:rFonts w:ascii="Arial Narrow" w:hAnsi="Arial Narrow"/>
              </w:rPr>
              <w:t>towards</w:t>
            </w:r>
            <w:proofErr w:type="gramEnd"/>
            <w:r w:rsidRPr="008A01E4">
              <w:rPr>
                <w:rFonts w:ascii="Arial Narrow" w:hAnsi="Arial Narrow"/>
              </w:rPr>
              <w:t xml:space="preserve"> developing historical emission inventories that consistently represent the changes in emissions of various precursor species over the multi-decadal period based on changing activity data and speciation profiles reflective of control technologies and fuel formulation changes.   </w:t>
            </w:r>
            <w:r w:rsidR="00541555" w:rsidRPr="00541555">
              <w:rPr>
                <w:rFonts w:ascii="Arial Narrow" w:hAnsi="Arial Narrow"/>
              </w:rPr>
              <w:t>.</w:t>
            </w:r>
          </w:p>
        </w:tc>
        <w:tc>
          <w:tcPr>
            <w:tcW w:w="479" w:type="dxa"/>
          </w:tcPr>
          <w:p w14:paraId="1D886A49" w14:textId="77777777" w:rsidR="00493FC5" w:rsidRPr="00000CE3" w:rsidRDefault="00493FC5" w:rsidP="00A844EC">
            <w:r w:rsidRPr="00805B66">
              <w:rPr>
                <w:rFonts w:eastAsiaTheme="minorEastAsia"/>
                <w:sz w:val="22"/>
                <w:szCs w:val="22"/>
              </w:rPr>
              <w:t>Modeling</w:t>
            </w:r>
          </w:p>
        </w:tc>
      </w:tr>
    </w:tbl>
    <w:p w14:paraId="72584DCC" w14:textId="77777777" w:rsidR="00541555" w:rsidRDefault="00541555">
      <w:pPr>
        <w:spacing w:after="160" w:line="259" w:lineRule="auto"/>
        <w:rPr>
          <w:b/>
          <w:u w:val="single"/>
        </w:rPr>
      </w:pPr>
      <w:r>
        <w:rPr>
          <w:b/>
          <w:u w:val="single"/>
        </w:rPr>
        <w:br w:type="page"/>
      </w:r>
    </w:p>
    <w:p w14:paraId="40AD755C" w14:textId="77777777" w:rsidR="00493FC5" w:rsidRDefault="00493FC5" w:rsidP="00172A4C">
      <w:pPr>
        <w:rPr>
          <w:b/>
          <w:u w:val="single"/>
        </w:rPr>
      </w:pPr>
    </w:p>
    <w:p w14:paraId="597C13C7" w14:textId="09CE9B60" w:rsidR="00E72DA7" w:rsidRDefault="00A62816" w:rsidP="00E72DA7">
      <w:pPr>
        <w:jc w:val="center"/>
        <w:rPr>
          <w:b/>
          <w:u w:val="single"/>
        </w:rPr>
      </w:pPr>
      <w:r>
        <w:rPr>
          <w:b/>
          <w:u w:val="single"/>
        </w:rPr>
        <w:t>Appendix</w:t>
      </w:r>
      <w:r w:rsidR="00E72DA7">
        <w:rPr>
          <w:b/>
          <w:u w:val="single"/>
        </w:rPr>
        <w:t xml:space="preserve"> </w:t>
      </w:r>
      <w:r w:rsidR="006059AE">
        <w:rPr>
          <w:b/>
          <w:u w:val="single"/>
        </w:rPr>
        <w:t>3</w:t>
      </w:r>
    </w:p>
    <w:p w14:paraId="080F8C78" w14:textId="77777777" w:rsidR="00E72DA7" w:rsidRDefault="00E72DA7" w:rsidP="00493FC5">
      <w:pPr>
        <w:rPr>
          <w:b/>
          <w:bCs/>
          <w:szCs w:val="24"/>
        </w:rPr>
      </w:pPr>
    </w:p>
    <w:p w14:paraId="578C7C88" w14:textId="77777777" w:rsidR="00493FC5" w:rsidRPr="00DE5DB8" w:rsidRDefault="00493FC5" w:rsidP="00493FC5">
      <w:pPr>
        <w:rPr>
          <w:szCs w:val="24"/>
        </w:rPr>
      </w:pPr>
      <w:r w:rsidRPr="00DE5DB8">
        <w:rPr>
          <w:b/>
          <w:bCs/>
          <w:szCs w:val="24"/>
        </w:rPr>
        <w:t>2016 Air Quality Research Needs Workshop: Top 11 Research Needs</w:t>
      </w:r>
    </w:p>
    <w:p w14:paraId="43925C4D" w14:textId="77777777" w:rsidR="00403547" w:rsidRPr="00AD1C0D" w:rsidRDefault="00403547" w:rsidP="00403547">
      <w:pPr>
        <w:rPr>
          <w:rFonts w:ascii="Arial Narrow" w:hAnsi="Arial Narrow"/>
        </w:rPr>
      </w:pPr>
      <w:r w:rsidRPr="00AD1C0D">
        <w:rPr>
          <w:rFonts w:ascii="Arial Narrow" w:hAnsi="Arial Narrow"/>
        </w:rPr>
        <w:t>Reference: “</w:t>
      </w:r>
      <w:proofErr w:type="spellStart"/>
      <w:r w:rsidRPr="00AD1C0D">
        <w:rPr>
          <w:rFonts w:ascii="Arial Narrow" w:hAnsi="Arial Narrow"/>
        </w:rPr>
        <w:t>em</w:t>
      </w:r>
      <w:proofErr w:type="spellEnd"/>
      <w:r w:rsidRPr="00AD1C0D">
        <w:rPr>
          <w:rFonts w:ascii="Arial Narrow" w:hAnsi="Arial Narrow"/>
        </w:rPr>
        <w:t>” magazine, “Highlights from the Coordinating Research Council’s 2016 Air Quality Research Needs Workshop</w:t>
      </w:r>
      <w:r w:rsidR="00000CE3" w:rsidRPr="00AD1C0D">
        <w:rPr>
          <w:rFonts w:ascii="Arial Narrow" w:hAnsi="Arial Narrow"/>
        </w:rPr>
        <w:t>, Top 11 Research Needs</w:t>
      </w:r>
      <w:r w:rsidRPr="00AD1C0D">
        <w:rPr>
          <w:rFonts w:ascii="Arial Narrow" w:hAnsi="Arial Narrow"/>
        </w:rPr>
        <w:t>”, July 2016.</w:t>
      </w:r>
    </w:p>
    <w:p w14:paraId="50933B9D" w14:textId="45BB80AB" w:rsidR="00000CE3" w:rsidRDefault="004D4D38" w:rsidP="00403547">
      <w:hyperlink r:id="rId7" w:history="1">
        <w:r w:rsidRPr="0095661A">
          <w:rPr>
            <w:rStyle w:val="Hyperlink"/>
          </w:rPr>
          <w:t>https://cfpub.epa.gov/si/si_public_record_report.cfm?dirEntryId=336499&amp;Lab=NERL</w:t>
        </w:r>
      </w:hyperlink>
    </w:p>
    <w:p w14:paraId="5F591564" w14:textId="77777777" w:rsidR="004D4D38" w:rsidRPr="00403547" w:rsidRDefault="004D4D38" w:rsidP="00403547"/>
    <w:tbl>
      <w:tblPr>
        <w:tblStyle w:val="TableGrid"/>
        <w:tblW w:w="0" w:type="auto"/>
        <w:tblLook w:val="04A0" w:firstRow="1" w:lastRow="0" w:firstColumn="1" w:lastColumn="0" w:noHBand="0" w:noVBand="1"/>
      </w:tblPr>
      <w:tblGrid>
        <w:gridCol w:w="636"/>
        <w:gridCol w:w="7112"/>
        <w:gridCol w:w="2322"/>
      </w:tblGrid>
      <w:tr w:rsidR="00403547" w:rsidRPr="00000CE3" w14:paraId="708118CC" w14:textId="77777777" w:rsidTr="00AD1C0D">
        <w:tc>
          <w:tcPr>
            <w:tcW w:w="445" w:type="dxa"/>
          </w:tcPr>
          <w:p w14:paraId="3B62E0CF" w14:textId="77777777" w:rsidR="00403547" w:rsidRPr="00000CE3" w:rsidRDefault="00000CE3" w:rsidP="00403547">
            <w:pPr>
              <w:rPr>
                <w:b/>
              </w:rPr>
            </w:pPr>
            <w:r w:rsidRPr="00000CE3">
              <w:rPr>
                <w:b/>
              </w:rPr>
              <w:t>No.</w:t>
            </w:r>
          </w:p>
        </w:tc>
        <w:tc>
          <w:tcPr>
            <w:tcW w:w="7175" w:type="dxa"/>
          </w:tcPr>
          <w:p w14:paraId="5B5738D1" w14:textId="77777777" w:rsidR="00403547" w:rsidRPr="00000CE3" w:rsidRDefault="00000CE3" w:rsidP="00403547">
            <w:pPr>
              <w:rPr>
                <w:b/>
              </w:rPr>
            </w:pPr>
            <w:r w:rsidRPr="00000CE3">
              <w:rPr>
                <w:b/>
              </w:rPr>
              <w:t>Subject</w:t>
            </w:r>
          </w:p>
        </w:tc>
        <w:tc>
          <w:tcPr>
            <w:tcW w:w="2335" w:type="dxa"/>
          </w:tcPr>
          <w:p w14:paraId="3C2B9F0A" w14:textId="77777777" w:rsidR="00403547" w:rsidRPr="00000CE3" w:rsidRDefault="00000CE3" w:rsidP="00403547">
            <w:pPr>
              <w:rPr>
                <w:b/>
              </w:rPr>
            </w:pPr>
            <w:r w:rsidRPr="00000CE3">
              <w:rPr>
                <w:b/>
              </w:rPr>
              <w:t>Topic</w:t>
            </w:r>
          </w:p>
        </w:tc>
      </w:tr>
      <w:tr w:rsidR="00403547" w:rsidRPr="00000CE3" w14:paraId="394E6D4B" w14:textId="77777777" w:rsidTr="00AD1C0D">
        <w:tc>
          <w:tcPr>
            <w:tcW w:w="445" w:type="dxa"/>
          </w:tcPr>
          <w:p w14:paraId="23A145F8" w14:textId="77777777" w:rsidR="00403547" w:rsidRPr="00000CE3" w:rsidRDefault="00493FC5" w:rsidP="00000CE3">
            <w:pPr>
              <w:tabs>
                <w:tab w:val="left" w:pos="360"/>
              </w:tabs>
              <w:jc w:val="both"/>
            </w:pPr>
            <w:r>
              <w:t>2.01</w:t>
            </w:r>
          </w:p>
        </w:tc>
        <w:tc>
          <w:tcPr>
            <w:tcW w:w="7175" w:type="dxa"/>
          </w:tcPr>
          <w:p w14:paraId="7D05F84F" w14:textId="77777777" w:rsidR="00403547" w:rsidRPr="00000CE3" w:rsidRDefault="00000CE3" w:rsidP="00403547">
            <w:r w:rsidRPr="00000CE3">
              <w:t>Improved Spatial and Temporal Allocation of Emissions</w:t>
            </w:r>
          </w:p>
        </w:tc>
        <w:tc>
          <w:tcPr>
            <w:tcW w:w="2335" w:type="dxa"/>
          </w:tcPr>
          <w:p w14:paraId="6913D7E5" w14:textId="77777777" w:rsidR="00403547" w:rsidRPr="00000CE3" w:rsidRDefault="00000CE3" w:rsidP="00403547">
            <w:r w:rsidRPr="00000CE3">
              <w:t>MOVES &amp; Regional</w:t>
            </w:r>
          </w:p>
        </w:tc>
      </w:tr>
      <w:tr w:rsidR="00000CE3" w:rsidRPr="00000CE3" w14:paraId="7DA18894" w14:textId="77777777" w:rsidTr="00AD1C0D">
        <w:tc>
          <w:tcPr>
            <w:tcW w:w="445" w:type="dxa"/>
          </w:tcPr>
          <w:p w14:paraId="10C3AED1" w14:textId="77777777" w:rsidR="00000CE3" w:rsidRPr="00000CE3" w:rsidRDefault="00493FC5" w:rsidP="00000CE3">
            <w:pPr>
              <w:tabs>
                <w:tab w:val="left" w:pos="360"/>
              </w:tabs>
              <w:jc w:val="both"/>
            </w:pPr>
            <w:r>
              <w:t>2.02</w:t>
            </w:r>
          </w:p>
        </w:tc>
        <w:tc>
          <w:tcPr>
            <w:tcW w:w="7175" w:type="dxa"/>
          </w:tcPr>
          <w:p w14:paraId="3E162FDD" w14:textId="77777777" w:rsidR="00000CE3" w:rsidRPr="00000CE3" w:rsidRDefault="00000CE3" w:rsidP="00000CE3">
            <w:r w:rsidRPr="00000CE3">
              <w:rPr>
                <w:bCs/>
              </w:rPr>
              <w:t>Enhance the Use of Measurements to Evaluate Emission Inventories and Models</w:t>
            </w:r>
          </w:p>
        </w:tc>
        <w:tc>
          <w:tcPr>
            <w:tcW w:w="2335" w:type="dxa"/>
          </w:tcPr>
          <w:p w14:paraId="74370401" w14:textId="77777777" w:rsidR="00000CE3" w:rsidRPr="00000CE3" w:rsidRDefault="00000CE3" w:rsidP="00000CE3">
            <w:r w:rsidRPr="00000CE3">
              <w:t xml:space="preserve">MOVES </w:t>
            </w:r>
          </w:p>
        </w:tc>
      </w:tr>
      <w:tr w:rsidR="00000CE3" w:rsidRPr="00000CE3" w14:paraId="23DCA79D" w14:textId="77777777" w:rsidTr="00AD1C0D">
        <w:tc>
          <w:tcPr>
            <w:tcW w:w="445" w:type="dxa"/>
          </w:tcPr>
          <w:p w14:paraId="39019D76" w14:textId="77777777" w:rsidR="00000CE3" w:rsidRPr="00000CE3" w:rsidRDefault="00493FC5" w:rsidP="00000CE3">
            <w:pPr>
              <w:tabs>
                <w:tab w:val="left" w:pos="360"/>
              </w:tabs>
              <w:jc w:val="both"/>
            </w:pPr>
            <w:r>
              <w:t>2.03</w:t>
            </w:r>
          </w:p>
        </w:tc>
        <w:tc>
          <w:tcPr>
            <w:tcW w:w="7175" w:type="dxa"/>
          </w:tcPr>
          <w:p w14:paraId="0E028FE9" w14:textId="77777777" w:rsidR="00000CE3" w:rsidRPr="00000CE3" w:rsidRDefault="00000CE3" w:rsidP="00000CE3">
            <w:r w:rsidRPr="00000CE3">
              <w:rPr>
                <w:bCs/>
                <w:szCs w:val="24"/>
              </w:rPr>
              <w:t>Understand the Influence of NOx on SOA/PM Formation and Ozone</w:t>
            </w:r>
          </w:p>
        </w:tc>
        <w:tc>
          <w:tcPr>
            <w:tcW w:w="2335" w:type="dxa"/>
          </w:tcPr>
          <w:p w14:paraId="1357A188" w14:textId="77777777" w:rsidR="00000CE3" w:rsidRPr="00000CE3" w:rsidRDefault="00000CE3" w:rsidP="00000CE3">
            <w:r w:rsidRPr="00000CE3">
              <w:rPr>
                <w:bCs/>
                <w:szCs w:val="24"/>
              </w:rPr>
              <w:t>Secondary Pollutants</w:t>
            </w:r>
          </w:p>
        </w:tc>
      </w:tr>
      <w:tr w:rsidR="00000CE3" w:rsidRPr="00000CE3" w14:paraId="058D4F38" w14:textId="77777777" w:rsidTr="00AD1C0D">
        <w:tc>
          <w:tcPr>
            <w:tcW w:w="445" w:type="dxa"/>
          </w:tcPr>
          <w:p w14:paraId="6316F744" w14:textId="77777777" w:rsidR="00000CE3" w:rsidRPr="00000CE3" w:rsidRDefault="00493FC5" w:rsidP="00000CE3">
            <w:pPr>
              <w:tabs>
                <w:tab w:val="left" w:pos="360"/>
              </w:tabs>
              <w:jc w:val="both"/>
            </w:pPr>
            <w:r>
              <w:t>2.04</w:t>
            </w:r>
          </w:p>
        </w:tc>
        <w:tc>
          <w:tcPr>
            <w:tcW w:w="7175" w:type="dxa"/>
          </w:tcPr>
          <w:p w14:paraId="0318E59E" w14:textId="77777777" w:rsidR="00000CE3" w:rsidRPr="00000CE3" w:rsidRDefault="00000CE3" w:rsidP="00000CE3">
            <w:proofErr w:type="gramStart"/>
            <w:r w:rsidRPr="00000CE3">
              <w:rPr>
                <w:bCs/>
                <w:szCs w:val="24"/>
              </w:rPr>
              <w:t>Undertake</w:t>
            </w:r>
            <w:proofErr w:type="gramEnd"/>
            <w:r w:rsidRPr="00000CE3">
              <w:rPr>
                <w:bCs/>
                <w:szCs w:val="24"/>
              </w:rPr>
              <w:t xml:space="preserve"> Air Quality and Emission Trend Analysis</w:t>
            </w:r>
          </w:p>
        </w:tc>
        <w:tc>
          <w:tcPr>
            <w:tcW w:w="2335" w:type="dxa"/>
          </w:tcPr>
          <w:p w14:paraId="6D2D7FD0" w14:textId="77777777" w:rsidR="00000CE3" w:rsidRPr="00000CE3" w:rsidRDefault="00000CE3" w:rsidP="00000CE3">
            <w:r w:rsidRPr="00000CE3">
              <w:rPr>
                <w:bCs/>
                <w:szCs w:val="24"/>
              </w:rPr>
              <w:t>Regional</w:t>
            </w:r>
          </w:p>
        </w:tc>
      </w:tr>
      <w:tr w:rsidR="00000CE3" w:rsidRPr="00000CE3" w14:paraId="3A2BB32D" w14:textId="77777777" w:rsidTr="00AD1C0D">
        <w:tc>
          <w:tcPr>
            <w:tcW w:w="445" w:type="dxa"/>
          </w:tcPr>
          <w:p w14:paraId="1924DD1B" w14:textId="77777777" w:rsidR="00000CE3" w:rsidRPr="00000CE3" w:rsidRDefault="00493FC5" w:rsidP="00000CE3">
            <w:pPr>
              <w:tabs>
                <w:tab w:val="left" w:pos="360"/>
              </w:tabs>
              <w:jc w:val="both"/>
            </w:pPr>
            <w:r>
              <w:t>2.05</w:t>
            </w:r>
          </w:p>
        </w:tc>
        <w:tc>
          <w:tcPr>
            <w:tcW w:w="7175" w:type="dxa"/>
          </w:tcPr>
          <w:p w14:paraId="36430C68" w14:textId="77777777" w:rsidR="00000CE3" w:rsidRPr="00000CE3" w:rsidRDefault="00000CE3" w:rsidP="00000CE3">
            <w:r w:rsidRPr="00000CE3">
              <w:rPr>
                <w:bCs/>
                <w:szCs w:val="24"/>
              </w:rPr>
              <w:t>Characterize Emissions and Composition of Secondary Pollutant Precursors from Gasoline and Diesel Nonroad Sources</w:t>
            </w:r>
          </w:p>
        </w:tc>
        <w:tc>
          <w:tcPr>
            <w:tcW w:w="2335" w:type="dxa"/>
          </w:tcPr>
          <w:p w14:paraId="453FC314" w14:textId="77777777" w:rsidR="00000CE3" w:rsidRPr="00000CE3" w:rsidRDefault="00000CE3" w:rsidP="00000CE3">
            <w:r w:rsidRPr="00000CE3">
              <w:rPr>
                <w:bCs/>
                <w:szCs w:val="24"/>
              </w:rPr>
              <w:t>Secondary Pollutants</w:t>
            </w:r>
          </w:p>
        </w:tc>
      </w:tr>
      <w:tr w:rsidR="00000CE3" w:rsidRPr="00000CE3" w14:paraId="5A7C6FDE" w14:textId="77777777" w:rsidTr="00AD1C0D">
        <w:tc>
          <w:tcPr>
            <w:tcW w:w="445" w:type="dxa"/>
          </w:tcPr>
          <w:p w14:paraId="3985A82E" w14:textId="77777777" w:rsidR="00000CE3" w:rsidRPr="00000CE3" w:rsidRDefault="00493FC5" w:rsidP="00000CE3">
            <w:pPr>
              <w:tabs>
                <w:tab w:val="left" w:pos="360"/>
              </w:tabs>
              <w:jc w:val="both"/>
            </w:pPr>
            <w:r>
              <w:t>2.06</w:t>
            </w:r>
          </w:p>
        </w:tc>
        <w:tc>
          <w:tcPr>
            <w:tcW w:w="7175" w:type="dxa"/>
          </w:tcPr>
          <w:p w14:paraId="5791B697" w14:textId="77777777" w:rsidR="00000CE3" w:rsidRPr="00000CE3" w:rsidRDefault="00000CE3" w:rsidP="00000CE3">
            <w:pPr>
              <w:rPr>
                <w:bCs/>
                <w:szCs w:val="24"/>
              </w:rPr>
            </w:pPr>
            <w:r w:rsidRPr="00000CE3">
              <w:rPr>
                <w:bCs/>
              </w:rPr>
              <w:t>Improve Big (and Small) Data for Nonroad Activity</w:t>
            </w:r>
          </w:p>
        </w:tc>
        <w:tc>
          <w:tcPr>
            <w:tcW w:w="2335" w:type="dxa"/>
          </w:tcPr>
          <w:p w14:paraId="0C169C72" w14:textId="77777777" w:rsidR="00000CE3" w:rsidRPr="00000CE3" w:rsidRDefault="00000CE3" w:rsidP="00000CE3">
            <w:r w:rsidRPr="00000CE3">
              <w:t xml:space="preserve">MOVES </w:t>
            </w:r>
          </w:p>
        </w:tc>
      </w:tr>
      <w:tr w:rsidR="00000CE3" w:rsidRPr="00000CE3" w14:paraId="4564DADB" w14:textId="77777777" w:rsidTr="00AD1C0D">
        <w:tc>
          <w:tcPr>
            <w:tcW w:w="445" w:type="dxa"/>
          </w:tcPr>
          <w:p w14:paraId="72DC8929" w14:textId="77777777" w:rsidR="00000CE3" w:rsidRPr="00000CE3" w:rsidRDefault="00493FC5" w:rsidP="00000CE3">
            <w:pPr>
              <w:tabs>
                <w:tab w:val="left" w:pos="360"/>
              </w:tabs>
              <w:jc w:val="both"/>
            </w:pPr>
            <w:r>
              <w:t>2.07</w:t>
            </w:r>
          </w:p>
        </w:tc>
        <w:tc>
          <w:tcPr>
            <w:tcW w:w="7175" w:type="dxa"/>
          </w:tcPr>
          <w:p w14:paraId="1186F138" w14:textId="77777777" w:rsidR="00000CE3" w:rsidRPr="00000CE3" w:rsidRDefault="00000CE3" w:rsidP="00000CE3">
            <w:pPr>
              <w:rPr>
                <w:bCs/>
                <w:szCs w:val="24"/>
              </w:rPr>
            </w:pPr>
            <w:r w:rsidRPr="00000CE3">
              <w:rPr>
                <w:bCs/>
              </w:rPr>
              <w:t>Address Transfer Line and Chamber Wall Losses</w:t>
            </w:r>
          </w:p>
        </w:tc>
        <w:tc>
          <w:tcPr>
            <w:tcW w:w="2335" w:type="dxa"/>
          </w:tcPr>
          <w:p w14:paraId="00E0A69F" w14:textId="77777777" w:rsidR="00000CE3" w:rsidRPr="00000CE3" w:rsidRDefault="00000CE3" w:rsidP="00000CE3">
            <w:pPr>
              <w:rPr>
                <w:bCs/>
                <w:szCs w:val="24"/>
              </w:rPr>
            </w:pPr>
            <w:r w:rsidRPr="00000CE3">
              <w:rPr>
                <w:bCs/>
              </w:rPr>
              <w:t>Secondary Pollutants</w:t>
            </w:r>
          </w:p>
        </w:tc>
      </w:tr>
      <w:tr w:rsidR="00000CE3" w:rsidRPr="00000CE3" w14:paraId="30C65272" w14:textId="77777777" w:rsidTr="00AD1C0D">
        <w:tc>
          <w:tcPr>
            <w:tcW w:w="445" w:type="dxa"/>
          </w:tcPr>
          <w:p w14:paraId="492CED22" w14:textId="77777777" w:rsidR="00000CE3" w:rsidRPr="00000CE3" w:rsidRDefault="00493FC5" w:rsidP="00000CE3">
            <w:pPr>
              <w:tabs>
                <w:tab w:val="left" w:pos="360"/>
              </w:tabs>
              <w:jc w:val="both"/>
            </w:pPr>
            <w:r>
              <w:t>2.08</w:t>
            </w:r>
          </w:p>
        </w:tc>
        <w:tc>
          <w:tcPr>
            <w:tcW w:w="7175" w:type="dxa"/>
          </w:tcPr>
          <w:p w14:paraId="5B921408" w14:textId="77777777" w:rsidR="00000CE3" w:rsidRPr="00000CE3" w:rsidRDefault="00000CE3" w:rsidP="00000CE3">
            <w:pPr>
              <w:rPr>
                <w:bCs/>
                <w:szCs w:val="24"/>
              </w:rPr>
            </w:pPr>
            <w:r w:rsidRPr="00000CE3">
              <w:rPr>
                <w:bCs/>
              </w:rPr>
              <w:t>Assess the Role of Water on SOA</w:t>
            </w:r>
          </w:p>
        </w:tc>
        <w:tc>
          <w:tcPr>
            <w:tcW w:w="2335" w:type="dxa"/>
          </w:tcPr>
          <w:p w14:paraId="0E175937" w14:textId="77777777" w:rsidR="00000CE3" w:rsidRPr="00000CE3" w:rsidRDefault="00000CE3" w:rsidP="00000CE3">
            <w:pPr>
              <w:rPr>
                <w:bCs/>
                <w:szCs w:val="24"/>
              </w:rPr>
            </w:pPr>
            <w:r w:rsidRPr="00000CE3">
              <w:rPr>
                <w:bCs/>
              </w:rPr>
              <w:t>Secondary Pollutants</w:t>
            </w:r>
          </w:p>
        </w:tc>
      </w:tr>
      <w:tr w:rsidR="00000CE3" w:rsidRPr="00000CE3" w14:paraId="5E338241" w14:textId="77777777" w:rsidTr="00AD1C0D">
        <w:tc>
          <w:tcPr>
            <w:tcW w:w="445" w:type="dxa"/>
          </w:tcPr>
          <w:p w14:paraId="4355B37C" w14:textId="77777777" w:rsidR="00000CE3" w:rsidRPr="00000CE3" w:rsidRDefault="00493FC5" w:rsidP="00000CE3">
            <w:pPr>
              <w:tabs>
                <w:tab w:val="left" w:pos="360"/>
              </w:tabs>
              <w:jc w:val="both"/>
            </w:pPr>
            <w:r>
              <w:t>2.09</w:t>
            </w:r>
          </w:p>
        </w:tc>
        <w:tc>
          <w:tcPr>
            <w:tcW w:w="7175" w:type="dxa"/>
          </w:tcPr>
          <w:p w14:paraId="49D36E3E" w14:textId="77777777" w:rsidR="00000CE3" w:rsidRPr="00000CE3" w:rsidRDefault="00000CE3" w:rsidP="00000CE3">
            <w:pPr>
              <w:rPr>
                <w:bCs/>
                <w:szCs w:val="24"/>
              </w:rPr>
            </w:pPr>
            <w:r w:rsidRPr="00000CE3">
              <w:rPr>
                <w:bCs/>
              </w:rPr>
              <w:t>Improve Future Emissions Inventory Projections</w:t>
            </w:r>
          </w:p>
        </w:tc>
        <w:tc>
          <w:tcPr>
            <w:tcW w:w="2335" w:type="dxa"/>
          </w:tcPr>
          <w:p w14:paraId="4F392454" w14:textId="77777777" w:rsidR="00000CE3" w:rsidRPr="00000CE3" w:rsidRDefault="00000CE3" w:rsidP="00000CE3">
            <w:pPr>
              <w:rPr>
                <w:bCs/>
                <w:szCs w:val="24"/>
              </w:rPr>
            </w:pPr>
            <w:r w:rsidRPr="00000CE3">
              <w:rPr>
                <w:bCs/>
              </w:rPr>
              <w:t>MOVES</w:t>
            </w:r>
          </w:p>
        </w:tc>
      </w:tr>
      <w:tr w:rsidR="00000CE3" w:rsidRPr="00000CE3" w14:paraId="49EF4B88" w14:textId="77777777" w:rsidTr="00AD1C0D">
        <w:tc>
          <w:tcPr>
            <w:tcW w:w="445" w:type="dxa"/>
          </w:tcPr>
          <w:p w14:paraId="7918EC59" w14:textId="77777777" w:rsidR="00000CE3" w:rsidRPr="00000CE3" w:rsidRDefault="00493FC5" w:rsidP="00000CE3">
            <w:pPr>
              <w:tabs>
                <w:tab w:val="left" w:pos="360"/>
              </w:tabs>
              <w:jc w:val="both"/>
            </w:pPr>
            <w:r>
              <w:t>2.10</w:t>
            </w:r>
          </w:p>
        </w:tc>
        <w:tc>
          <w:tcPr>
            <w:tcW w:w="7175" w:type="dxa"/>
          </w:tcPr>
          <w:p w14:paraId="4C301262" w14:textId="77777777" w:rsidR="00000CE3" w:rsidRPr="00000CE3" w:rsidRDefault="00000CE3" w:rsidP="00000CE3">
            <w:r w:rsidRPr="00000CE3">
              <w:rPr>
                <w:bCs/>
              </w:rPr>
              <w:t>Condensation Rules for Chemical Mechanisms</w:t>
            </w:r>
          </w:p>
        </w:tc>
        <w:tc>
          <w:tcPr>
            <w:tcW w:w="2335" w:type="dxa"/>
          </w:tcPr>
          <w:p w14:paraId="6B3E23C6" w14:textId="77777777" w:rsidR="00000CE3" w:rsidRPr="00000CE3" w:rsidRDefault="00000CE3" w:rsidP="00000CE3">
            <w:r w:rsidRPr="00000CE3">
              <w:t>Regional</w:t>
            </w:r>
          </w:p>
        </w:tc>
      </w:tr>
      <w:tr w:rsidR="00000CE3" w:rsidRPr="00000CE3" w14:paraId="4B03A9F7" w14:textId="77777777" w:rsidTr="00AD1C0D">
        <w:trPr>
          <w:trHeight w:val="332"/>
        </w:trPr>
        <w:tc>
          <w:tcPr>
            <w:tcW w:w="445" w:type="dxa"/>
          </w:tcPr>
          <w:p w14:paraId="7C3169C2" w14:textId="77777777" w:rsidR="00000CE3" w:rsidRPr="00000CE3" w:rsidRDefault="00493FC5" w:rsidP="00000CE3">
            <w:pPr>
              <w:tabs>
                <w:tab w:val="left" w:pos="360"/>
              </w:tabs>
              <w:jc w:val="both"/>
            </w:pPr>
            <w:r>
              <w:t>2.11</w:t>
            </w:r>
          </w:p>
        </w:tc>
        <w:tc>
          <w:tcPr>
            <w:tcW w:w="7175" w:type="dxa"/>
          </w:tcPr>
          <w:p w14:paraId="0EB33103" w14:textId="77777777" w:rsidR="00000CE3" w:rsidRPr="00000CE3" w:rsidRDefault="00000CE3" w:rsidP="00000CE3">
            <w:pPr>
              <w:pStyle w:val="Default"/>
              <w:spacing w:line="360" w:lineRule="auto"/>
            </w:pPr>
            <w:r w:rsidRPr="00000CE3">
              <w:rPr>
                <w:rFonts w:ascii="Times New Roman" w:eastAsia="Times New Roman" w:hAnsi="Times New Roman" w:cs="Times New Roman"/>
                <w:bCs/>
                <w:color w:val="auto"/>
              </w:rPr>
              <w:t>Fires: Wild and Prescribed</w:t>
            </w:r>
          </w:p>
        </w:tc>
        <w:tc>
          <w:tcPr>
            <w:tcW w:w="2335" w:type="dxa"/>
          </w:tcPr>
          <w:p w14:paraId="0B6C0B8C" w14:textId="77777777" w:rsidR="00000CE3" w:rsidRPr="00000CE3" w:rsidRDefault="00000CE3" w:rsidP="00000CE3">
            <w:r w:rsidRPr="00000CE3">
              <w:t>Regional</w:t>
            </w:r>
          </w:p>
        </w:tc>
      </w:tr>
    </w:tbl>
    <w:p w14:paraId="669C33BB" w14:textId="77777777" w:rsidR="00172A4C" w:rsidRDefault="00172A4C"/>
    <w:p w14:paraId="11798652" w14:textId="77777777" w:rsidR="00000CE3" w:rsidRDefault="00000CE3"/>
    <w:sectPr w:rsidR="00000CE3" w:rsidSect="00493FC5">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720" w:footer="2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6576F" w14:textId="77777777" w:rsidR="00D941B4" w:rsidRDefault="00D941B4" w:rsidP="009B1836">
      <w:r>
        <w:separator/>
      </w:r>
    </w:p>
  </w:endnote>
  <w:endnote w:type="continuationSeparator" w:id="0">
    <w:p w14:paraId="0D0B2E70" w14:textId="77777777" w:rsidR="00D941B4" w:rsidRDefault="00D941B4" w:rsidP="009B1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75E6F" w14:textId="77777777" w:rsidR="00493FC5" w:rsidRPr="00947218" w:rsidRDefault="00493FC5" w:rsidP="00493FC5">
    <w:pPr>
      <w:pBdr>
        <w:top w:val="single" w:sz="4" w:space="1" w:color="auto"/>
      </w:pBdr>
      <w:rPr>
        <w:i/>
        <w:sz w:val="22"/>
        <w:szCs w:val="24"/>
      </w:rPr>
    </w:pPr>
    <w:r w:rsidRPr="00947218">
      <w:rPr>
        <w:i/>
        <w:sz w:val="22"/>
        <w:szCs w:val="24"/>
      </w:rPr>
      <w:t xml:space="preserve">CRC makes no guarantees on funding a specific </w:t>
    </w:r>
    <w:r>
      <w:rPr>
        <w:i/>
        <w:sz w:val="22"/>
        <w:szCs w:val="24"/>
      </w:rPr>
      <w:t>proposal</w:t>
    </w:r>
    <w:r w:rsidRPr="00947218">
      <w:rPr>
        <w:i/>
        <w:sz w:val="22"/>
        <w:szCs w:val="24"/>
      </w:rPr>
      <w:t xml:space="preserve">. </w:t>
    </w:r>
    <w:r>
      <w:rPr>
        <w:i/>
        <w:sz w:val="22"/>
        <w:szCs w:val="24"/>
      </w:rPr>
      <w:t xml:space="preserve">If proposal is accepted, </w:t>
    </w:r>
    <w:r w:rsidRPr="00947218">
      <w:rPr>
        <w:i/>
        <w:sz w:val="22"/>
        <w:szCs w:val="24"/>
      </w:rPr>
      <w:t>CRC intellectual property policy applies</w:t>
    </w:r>
    <w:r>
      <w:rPr>
        <w:i/>
        <w:sz w:val="22"/>
        <w:szCs w:val="24"/>
      </w:rPr>
      <w:t xml:space="preserve"> and</w:t>
    </w:r>
    <w:r w:rsidRPr="00947218">
      <w:rPr>
        <w:i/>
        <w:sz w:val="22"/>
        <w:szCs w:val="24"/>
      </w:rPr>
      <w:t xml:space="preserve"> become</w:t>
    </w:r>
    <w:r>
      <w:rPr>
        <w:i/>
        <w:sz w:val="22"/>
        <w:szCs w:val="24"/>
      </w:rPr>
      <w:t>s</w:t>
    </w:r>
    <w:r w:rsidRPr="00947218">
      <w:rPr>
        <w:i/>
        <w:sz w:val="22"/>
        <w:szCs w:val="24"/>
      </w:rPr>
      <w:t xml:space="preserve"> the property of CRC.  </w:t>
    </w:r>
  </w:p>
  <w:p w14:paraId="69EEA0E3" w14:textId="77777777" w:rsidR="00493FC5" w:rsidRDefault="00493FC5" w:rsidP="00493F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3D9B6" w14:textId="77777777" w:rsidR="005F1122" w:rsidRPr="00947218" w:rsidRDefault="005F1122" w:rsidP="005F1122">
    <w:pPr>
      <w:pBdr>
        <w:top w:val="single" w:sz="4" w:space="1" w:color="auto"/>
      </w:pBdr>
      <w:rPr>
        <w:i/>
        <w:sz w:val="22"/>
        <w:szCs w:val="24"/>
      </w:rPr>
    </w:pPr>
    <w:r w:rsidRPr="00947218">
      <w:rPr>
        <w:i/>
        <w:sz w:val="22"/>
        <w:szCs w:val="24"/>
      </w:rPr>
      <w:t xml:space="preserve">CRC makes no guarantees on funding a specific </w:t>
    </w:r>
    <w:r>
      <w:rPr>
        <w:i/>
        <w:sz w:val="22"/>
        <w:szCs w:val="24"/>
      </w:rPr>
      <w:t>proposal</w:t>
    </w:r>
    <w:r w:rsidRPr="00947218">
      <w:rPr>
        <w:i/>
        <w:sz w:val="22"/>
        <w:szCs w:val="24"/>
      </w:rPr>
      <w:t xml:space="preserve">. </w:t>
    </w:r>
    <w:r>
      <w:rPr>
        <w:i/>
        <w:sz w:val="22"/>
        <w:szCs w:val="24"/>
      </w:rPr>
      <w:t xml:space="preserve">If proposal is accepted, </w:t>
    </w:r>
    <w:r w:rsidRPr="00947218">
      <w:rPr>
        <w:i/>
        <w:sz w:val="22"/>
        <w:szCs w:val="24"/>
      </w:rPr>
      <w:t>CRC intellectual property policy applies</w:t>
    </w:r>
    <w:r>
      <w:rPr>
        <w:i/>
        <w:sz w:val="22"/>
        <w:szCs w:val="24"/>
      </w:rPr>
      <w:t xml:space="preserve"> and</w:t>
    </w:r>
    <w:r w:rsidRPr="00947218">
      <w:rPr>
        <w:i/>
        <w:sz w:val="22"/>
        <w:szCs w:val="24"/>
      </w:rPr>
      <w:t xml:space="preserve"> become</w:t>
    </w:r>
    <w:r w:rsidR="001807EC">
      <w:rPr>
        <w:i/>
        <w:sz w:val="22"/>
        <w:szCs w:val="24"/>
      </w:rPr>
      <w:t>s</w:t>
    </w:r>
    <w:r w:rsidRPr="00947218">
      <w:rPr>
        <w:i/>
        <w:sz w:val="22"/>
        <w:szCs w:val="24"/>
      </w:rPr>
      <w:t xml:space="preserve"> the property of CRC.  </w:t>
    </w:r>
  </w:p>
  <w:p w14:paraId="3F13E2FA" w14:textId="77777777" w:rsidR="005F1122" w:rsidRDefault="005F11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41B73" w14:textId="77777777" w:rsidR="00493FC5" w:rsidRPr="00947218" w:rsidRDefault="00493FC5" w:rsidP="00493FC5">
    <w:pPr>
      <w:pBdr>
        <w:top w:val="single" w:sz="4" w:space="1" w:color="auto"/>
      </w:pBdr>
      <w:rPr>
        <w:i/>
        <w:sz w:val="22"/>
        <w:szCs w:val="24"/>
      </w:rPr>
    </w:pPr>
    <w:r w:rsidRPr="00947218">
      <w:rPr>
        <w:i/>
        <w:sz w:val="22"/>
        <w:szCs w:val="24"/>
      </w:rPr>
      <w:t xml:space="preserve">CRC makes no guarantees on funding a specific </w:t>
    </w:r>
    <w:r>
      <w:rPr>
        <w:i/>
        <w:sz w:val="22"/>
        <w:szCs w:val="24"/>
      </w:rPr>
      <w:t>proposal</w:t>
    </w:r>
    <w:r w:rsidRPr="00947218">
      <w:rPr>
        <w:i/>
        <w:sz w:val="22"/>
        <w:szCs w:val="24"/>
      </w:rPr>
      <w:t xml:space="preserve">. </w:t>
    </w:r>
    <w:r>
      <w:rPr>
        <w:i/>
        <w:sz w:val="22"/>
        <w:szCs w:val="24"/>
      </w:rPr>
      <w:t xml:space="preserve">If proposal is accepted, </w:t>
    </w:r>
    <w:r w:rsidRPr="00947218">
      <w:rPr>
        <w:i/>
        <w:sz w:val="22"/>
        <w:szCs w:val="24"/>
      </w:rPr>
      <w:t>CRC intellectual property policy applies</w:t>
    </w:r>
    <w:r>
      <w:rPr>
        <w:i/>
        <w:sz w:val="22"/>
        <w:szCs w:val="24"/>
      </w:rPr>
      <w:t xml:space="preserve"> and</w:t>
    </w:r>
    <w:r w:rsidRPr="00947218">
      <w:rPr>
        <w:i/>
        <w:sz w:val="22"/>
        <w:szCs w:val="24"/>
      </w:rPr>
      <w:t xml:space="preserve"> become</w:t>
    </w:r>
    <w:r>
      <w:rPr>
        <w:i/>
        <w:sz w:val="22"/>
        <w:szCs w:val="24"/>
      </w:rPr>
      <w:t>s</w:t>
    </w:r>
    <w:r w:rsidRPr="00947218">
      <w:rPr>
        <w:i/>
        <w:sz w:val="22"/>
        <w:szCs w:val="24"/>
      </w:rPr>
      <w:t xml:space="preserve"> the property of CRC.  </w:t>
    </w:r>
  </w:p>
  <w:p w14:paraId="21DE1240" w14:textId="77777777" w:rsidR="00493FC5" w:rsidRDefault="00493FC5" w:rsidP="00493F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E558E" w14:textId="77777777" w:rsidR="00D941B4" w:rsidRDefault="00D941B4" w:rsidP="009B1836">
      <w:r>
        <w:separator/>
      </w:r>
    </w:p>
  </w:footnote>
  <w:footnote w:type="continuationSeparator" w:id="0">
    <w:p w14:paraId="56A81C5B" w14:textId="77777777" w:rsidR="00D941B4" w:rsidRDefault="00D941B4" w:rsidP="009B18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A7AA8" w14:textId="77777777" w:rsidR="00493FC5" w:rsidRDefault="00493FC5" w:rsidP="00493FC5">
    <w:pPr>
      <w:ind w:firstLine="720"/>
      <w:rPr>
        <w:rFonts w:ascii="Arial" w:hAnsi="Arial" w:cs="Arial"/>
        <w:color w:val="000000"/>
        <w:sz w:val="20"/>
        <w:szCs w:val="28"/>
      </w:rPr>
    </w:pPr>
  </w:p>
  <w:p w14:paraId="73908959" w14:textId="3A9EA3DC" w:rsidR="00493FC5" w:rsidRDefault="00493FC5" w:rsidP="00493FC5">
    <w:pPr>
      <w:ind w:firstLine="720"/>
      <w:jc w:val="center"/>
      <w:rPr>
        <w:b/>
        <w:sz w:val="28"/>
        <w:szCs w:val="28"/>
      </w:rPr>
    </w:pPr>
    <w:r>
      <w:rPr>
        <w:b/>
        <w:noProof/>
        <w:color w:val="000000"/>
        <w:sz w:val="28"/>
        <w:szCs w:val="28"/>
      </w:rPr>
      <w:drawing>
        <wp:anchor distT="0" distB="0" distL="114300" distR="114300" simplePos="0" relativeHeight="251663360" behindDoc="0" locked="0" layoutInCell="0" allowOverlap="1" wp14:anchorId="08E2EE2D" wp14:editId="04D7DD6A">
          <wp:simplePos x="0" y="0"/>
          <wp:positionH relativeFrom="column">
            <wp:posOffset>-1905</wp:posOffset>
          </wp:positionH>
          <wp:positionV relativeFrom="paragraph">
            <wp:posOffset>-314325</wp:posOffset>
          </wp:positionV>
          <wp:extent cx="762000" cy="762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pic:spPr>
              </pic:pic>
            </a:graphicData>
          </a:graphic>
          <wp14:sizeRelH relativeFrom="page">
            <wp14:pctWidth>0</wp14:pctWidth>
          </wp14:sizeRelH>
          <wp14:sizeRelV relativeFrom="page">
            <wp14:pctHeight>0</wp14:pctHeight>
          </wp14:sizeRelV>
        </wp:anchor>
      </w:drawing>
    </w:r>
    <w:r w:rsidRPr="00AB186E">
      <w:rPr>
        <w:b/>
        <w:color w:val="000000"/>
        <w:sz w:val="28"/>
        <w:szCs w:val="28"/>
      </w:rPr>
      <w:t xml:space="preserve">CRC </w:t>
    </w:r>
    <w:r>
      <w:rPr>
        <w:b/>
        <w:color w:val="000000"/>
        <w:sz w:val="28"/>
        <w:szCs w:val="28"/>
      </w:rPr>
      <w:t>Atmospheric Impacts</w:t>
    </w:r>
    <w:r w:rsidRPr="00AB186E">
      <w:rPr>
        <w:b/>
        <w:color w:val="000000"/>
        <w:sz w:val="28"/>
        <w:szCs w:val="28"/>
      </w:rPr>
      <w:t xml:space="preserve"> Committee</w:t>
    </w:r>
    <w:r>
      <w:rPr>
        <w:b/>
        <w:color w:val="000000"/>
        <w:sz w:val="28"/>
        <w:szCs w:val="28"/>
      </w:rPr>
      <w:t xml:space="preserve"> - 20</w:t>
    </w:r>
    <w:r w:rsidR="0059090B">
      <w:rPr>
        <w:b/>
        <w:color w:val="000000"/>
        <w:sz w:val="28"/>
        <w:szCs w:val="28"/>
      </w:rPr>
      <w:t>2</w:t>
    </w:r>
    <w:r w:rsidR="00981F30">
      <w:rPr>
        <w:b/>
        <w:color w:val="000000"/>
        <w:sz w:val="28"/>
        <w:szCs w:val="28"/>
      </w:rPr>
      <w:t>7</w:t>
    </w:r>
    <w:r w:rsidRPr="00AB186E">
      <w:rPr>
        <w:b/>
        <w:sz w:val="28"/>
        <w:szCs w:val="28"/>
      </w:rPr>
      <w:t xml:space="preserve"> Project </w:t>
    </w:r>
    <w:r>
      <w:rPr>
        <w:b/>
        <w:sz w:val="28"/>
        <w:szCs w:val="28"/>
      </w:rPr>
      <w:t xml:space="preserve">Idea </w:t>
    </w:r>
    <w:r w:rsidRPr="00AB186E">
      <w:rPr>
        <w:b/>
        <w:sz w:val="28"/>
        <w:szCs w:val="28"/>
      </w:rPr>
      <w:t>Proposal</w:t>
    </w:r>
  </w:p>
  <w:p w14:paraId="0AF2012A" w14:textId="77777777" w:rsidR="00493FC5" w:rsidRDefault="00493FC5" w:rsidP="00493F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896CC" w14:textId="77777777" w:rsidR="00493FC5" w:rsidRDefault="00493FC5" w:rsidP="00493FC5">
    <w:pPr>
      <w:ind w:firstLine="720"/>
      <w:rPr>
        <w:rFonts w:ascii="Arial" w:hAnsi="Arial" w:cs="Arial"/>
        <w:color w:val="000000"/>
        <w:sz w:val="20"/>
        <w:szCs w:val="28"/>
      </w:rPr>
    </w:pPr>
  </w:p>
  <w:p w14:paraId="35ADEFCC" w14:textId="4C468740" w:rsidR="009B1836" w:rsidRDefault="009B1836" w:rsidP="009B1836">
    <w:pPr>
      <w:ind w:firstLine="720"/>
      <w:jc w:val="center"/>
      <w:rPr>
        <w:b/>
        <w:sz w:val="28"/>
        <w:szCs w:val="28"/>
      </w:rPr>
    </w:pPr>
    <w:r>
      <w:rPr>
        <w:b/>
        <w:noProof/>
        <w:color w:val="000000"/>
        <w:sz w:val="28"/>
        <w:szCs w:val="28"/>
      </w:rPr>
      <w:drawing>
        <wp:anchor distT="0" distB="0" distL="114300" distR="114300" simplePos="0" relativeHeight="251659264" behindDoc="0" locked="0" layoutInCell="0" allowOverlap="1" wp14:anchorId="6855CD4C" wp14:editId="3EB1D9BD">
          <wp:simplePos x="0" y="0"/>
          <wp:positionH relativeFrom="column">
            <wp:posOffset>-1905</wp:posOffset>
          </wp:positionH>
          <wp:positionV relativeFrom="paragraph">
            <wp:posOffset>-314325</wp:posOffset>
          </wp:positionV>
          <wp:extent cx="762000" cy="762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pic:spPr>
              </pic:pic>
            </a:graphicData>
          </a:graphic>
          <wp14:sizeRelH relativeFrom="page">
            <wp14:pctWidth>0</wp14:pctWidth>
          </wp14:sizeRelH>
          <wp14:sizeRelV relativeFrom="page">
            <wp14:pctHeight>0</wp14:pctHeight>
          </wp14:sizeRelV>
        </wp:anchor>
      </w:drawing>
    </w:r>
    <w:r w:rsidRPr="00AB186E">
      <w:rPr>
        <w:b/>
        <w:color w:val="000000"/>
        <w:sz w:val="28"/>
        <w:szCs w:val="28"/>
      </w:rPr>
      <w:t xml:space="preserve">CRC </w:t>
    </w:r>
    <w:r>
      <w:rPr>
        <w:b/>
        <w:color w:val="000000"/>
        <w:sz w:val="28"/>
        <w:szCs w:val="28"/>
      </w:rPr>
      <w:t>Atmospheric Impacts</w:t>
    </w:r>
    <w:r w:rsidRPr="00AB186E">
      <w:rPr>
        <w:b/>
        <w:color w:val="000000"/>
        <w:sz w:val="28"/>
        <w:szCs w:val="28"/>
      </w:rPr>
      <w:t xml:space="preserve"> Committee</w:t>
    </w:r>
    <w:r>
      <w:rPr>
        <w:b/>
        <w:color w:val="000000"/>
        <w:sz w:val="28"/>
        <w:szCs w:val="28"/>
      </w:rPr>
      <w:t xml:space="preserve"> - 20</w:t>
    </w:r>
    <w:r w:rsidR="0059090B">
      <w:rPr>
        <w:b/>
        <w:color w:val="000000"/>
        <w:sz w:val="28"/>
        <w:szCs w:val="28"/>
      </w:rPr>
      <w:t>2</w:t>
    </w:r>
    <w:r w:rsidR="00F53166">
      <w:rPr>
        <w:b/>
        <w:color w:val="000000"/>
        <w:sz w:val="28"/>
        <w:szCs w:val="28"/>
      </w:rPr>
      <w:t>5</w:t>
    </w:r>
    <w:r w:rsidRPr="00AB186E">
      <w:rPr>
        <w:b/>
        <w:sz w:val="28"/>
        <w:szCs w:val="28"/>
      </w:rPr>
      <w:t xml:space="preserve"> Project </w:t>
    </w:r>
    <w:r>
      <w:rPr>
        <w:b/>
        <w:sz w:val="28"/>
        <w:szCs w:val="28"/>
      </w:rPr>
      <w:t xml:space="preserve">Idea </w:t>
    </w:r>
    <w:r w:rsidRPr="00AB186E">
      <w:rPr>
        <w:b/>
        <w:sz w:val="28"/>
        <w:szCs w:val="28"/>
      </w:rPr>
      <w:t>Proposal</w:t>
    </w:r>
  </w:p>
  <w:p w14:paraId="6CD52253" w14:textId="77777777" w:rsidR="009B1836" w:rsidRDefault="009B18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2F4C6" w14:textId="77777777" w:rsidR="00493FC5" w:rsidRDefault="00493FC5" w:rsidP="00493FC5">
    <w:pPr>
      <w:ind w:firstLine="720"/>
      <w:rPr>
        <w:rFonts w:ascii="Arial" w:hAnsi="Arial" w:cs="Arial"/>
        <w:color w:val="000000"/>
        <w:sz w:val="20"/>
        <w:szCs w:val="28"/>
      </w:rPr>
    </w:pPr>
  </w:p>
  <w:p w14:paraId="31C53828" w14:textId="7355B6F7" w:rsidR="00493FC5" w:rsidRDefault="00493FC5" w:rsidP="00493FC5">
    <w:pPr>
      <w:ind w:firstLine="720"/>
      <w:jc w:val="center"/>
      <w:rPr>
        <w:b/>
        <w:sz w:val="28"/>
        <w:szCs w:val="28"/>
      </w:rPr>
    </w:pPr>
    <w:r>
      <w:rPr>
        <w:b/>
        <w:noProof/>
        <w:color w:val="000000"/>
        <w:sz w:val="28"/>
        <w:szCs w:val="28"/>
      </w:rPr>
      <w:drawing>
        <wp:anchor distT="0" distB="0" distL="114300" distR="114300" simplePos="0" relativeHeight="251661312" behindDoc="0" locked="0" layoutInCell="0" allowOverlap="1" wp14:anchorId="47FB0E89" wp14:editId="056986AC">
          <wp:simplePos x="0" y="0"/>
          <wp:positionH relativeFrom="column">
            <wp:posOffset>-1905</wp:posOffset>
          </wp:positionH>
          <wp:positionV relativeFrom="paragraph">
            <wp:posOffset>-314325</wp:posOffset>
          </wp:positionV>
          <wp:extent cx="762000" cy="762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pic:spPr>
              </pic:pic>
            </a:graphicData>
          </a:graphic>
          <wp14:sizeRelH relativeFrom="page">
            <wp14:pctWidth>0</wp14:pctWidth>
          </wp14:sizeRelH>
          <wp14:sizeRelV relativeFrom="page">
            <wp14:pctHeight>0</wp14:pctHeight>
          </wp14:sizeRelV>
        </wp:anchor>
      </w:drawing>
    </w:r>
    <w:r w:rsidRPr="00AB186E">
      <w:rPr>
        <w:b/>
        <w:color w:val="000000"/>
        <w:sz w:val="28"/>
        <w:szCs w:val="28"/>
      </w:rPr>
      <w:t xml:space="preserve">CRC </w:t>
    </w:r>
    <w:r>
      <w:rPr>
        <w:b/>
        <w:color w:val="000000"/>
        <w:sz w:val="28"/>
        <w:szCs w:val="28"/>
      </w:rPr>
      <w:t>Atmospheric Impacts</w:t>
    </w:r>
    <w:r w:rsidRPr="00AB186E">
      <w:rPr>
        <w:b/>
        <w:color w:val="000000"/>
        <w:sz w:val="28"/>
        <w:szCs w:val="28"/>
      </w:rPr>
      <w:t xml:space="preserve"> Committee</w:t>
    </w:r>
    <w:r>
      <w:rPr>
        <w:b/>
        <w:color w:val="000000"/>
        <w:sz w:val="28"/>
        <w:szCs w:val="28"/>
      </w:rPr>
      <w:t xml:space="preserve"> - 20</w:t>
    </w:r>
    <w:r w:rsidR="0059090B">
      <w:rPr>
        <w:b/>
        <w:color w:val="000000"/>
        <w:sz w:val="28"/>
        <w:szCs w:val="28"/>
      </w:rPr>
      <w:t>2</w:t>
    </w:r>
    <w:r w:rsidR="004035D8">
      <w:rPr>
        <w:b/>
        <w:color w:val="000000"/>
        <w:sz w:val="28"/>
        <w:szCs w:val="28"/>
      </w:rPr>
      <w:t>7</w:t>
    </w:r>
    <w:r w:rsidRPr="00AB186E">
      <w:rPr>
        <w:b/>
        <w:sz w:val="28"/>
        <w:szCs w:val="28"/>
      </w:rPr>
      <w:t xml:space="preserve"> Project </w:t>
    </w:r>
    <w:r>
      <w:rPr>
        <w:b/>
        <w:sz w:val="28"/>
        <w:szCs w:val="28"/>
      </w:rPr>
      <w:t xml:space="preserve">Idea </w:t>
    </w:r>
    <w:r w:rsidRPr="00AB186E">
      <w:rPr>
        <w:b/>
        <w:sz w:val="28"/>
        <w:szCs w:val="28"/>
      </w:rPr>
      <w:t>Proposal</w:t>
    </w:r>
  </w:p>
  <w:p w14:paraId="76082368" w14:textId="77777777" w:rsidR="00493FC5" w:rsidRDefault="00493FC5" w:rsidP="00493F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315FFE"/>
    <w:multiLevelType w:val="hybridMultilevel"/>
    <w:tmpl w:val="C3808E70"/>
    <w:lvl w:ilvl="0" w:tplc="F64A2322">
      <w:start w:val="1"/>
      <w:numFmt w:val="decimal"/>
      <w:lvlText w:val="%1."/>
      <w:lvlJc w:val="left"/>
      <w:pPr>
        <w:tabs>
          <w:tab w:val="num" w:pos="720"/>
        </w:tabs>
        <w:ind w:left="720" w:hanging="360"/>
      </w:pPr>
    </w:lvl>
    <w:lvl w:ilvl="1" w:tplc="2AEE3A9A" w:tentative="1">
      <w:start w:val="1"/>
      <w:numFmt w:val="decimal"/>
      <w:lvlText w:val="%2."/>
      <w:lvlJc w:val="left"/>
      <w:pPr>
        <w:tabs>
          <w:tab w:val="num" w:pos="1440"/>
        </w:tabs>
        <w:ind w:left="1440" w:hanging="360"/>
      </w:pPr>
    </w:lvl>
    <w:lvl w:ilvl="2" w:tplc="A6A6BE50" w:tentative="1">
      <w:start w:val="1"/>
      <w:numFmt w:val="decimal"/>
      <w:lvlText w:val="%3."/>
      <w:lvlJc w:val="left"/>
      <w:pPr>
        <w:tabs>
          <w:tab w:val="num" w:pos="2160"/>
        </w:tabs>
        <w:ind w:left="2160" w:hanging="360"/>
      </w:pPr>
    </w:lvl>
    <w:lvl w:ilvl="3" w:tplc="9DBCDC44" w:tentative="1">
      <w:start w:val="1"/>
      <w:numFmt w:val="decimal"/>
      <w:lvlText w:val="%4."/>
      <w:lvlJc w:val="left"/>
      <w:pPr>
        <w:tabs>
          <w:tab w:val="num" w:pos="2880"/>
        </w:tabs>
        <w:ind w:left="2880" w:hanging="360"/>
      </w:pPr>
    </w:lvl>
    <w:lvl w:ilvl="4" w:tplc="B94C4016" w:tentative="1">
      <w:start w:val="1"/>
      <w:numFmt w:val="decimal"/>
      <w:lvlText w:val="%5."/>
      <w:lvlJc w:val="left"/>
      <w:pPr>
        <w:tabs>
          <w:tab w:val="num" w:pos="3600"/>
        </w:tabs>
        <w:ind w:left="3600" w:hanging="360"/>
      </w:pPr>
    </w:lvl>
    <w:lvl w:ilvl="5" w:tplc="E6EC8C7E" w:tentative="1">
      <w:start w:val="1"/>
      <w:numFmt w:val="decimal"/>
      <w:lvlText w:val="%6."/>
      <w:lvlJc w:val="left"/>
      <w:pPr>
        <w:tabs>
          <w:tab w:val="num" w:pos="4320"/>
        </w:tabs>
        <w:ind w:left="4320" w:hanging="360"/>
      </w:pPr>
    </w:lvl>
    <w:lvl w:ilvl="6" w:tplc="2D26906E" w:tentative="1">
      <w:start w:val="1"/>
      <w:numFmt w:val="decimal"/>
      <w:lvlText w:val="%7."/>
      <w:lvlJc w:val="left"/>
      <w:pPr>
        <w:tabs>
          <w:tab w:val="num" w:pos="5040"/>
        </w:tabs>
        <w:ind w:left="5040" w:hanging="360"/>
      </w:pPr>
    </w:lvl>
    <w:lvl w:ilvl="7" w:tplc="52C846AC" w:tentative="1">
      <w:start w:val="1"/>
      <w:numFmt w:val="decimal"/>
      <w:lvlText w:val="%8."/>
      <w:lvlJc w:val="left"/>
      <w:pPr>
        <w:tabs>
          <w:tab w:val="num" w:pos="5760"/>
        </w:tabs>
        <w:ind w:left="5760" w:hanging="360"/>
      </w:pPr>
    </w:lvl>
    <w:lvl w:ilvl="8" w:tplc="C100AE96" w:tentative="1">
      <w:start w:val="1"/>
      <w:numFmt w:val="decimal"/>
      <w:lvlText w:val="%9."/>
      <w:lvlJc w:val="left"/>
      <w:pPr>
        <w:tabs>
          <w:tab w:val="num" w:pos="6480"/>
        </w:tabs>
        <w:ind w:left="6480" w:hanging="360"/>
      </w:pPr>
    </w:lvl>
  </w:abstractNum>
  <w:abstractNum w:abstractNumId="1" w15:restartNumberingAfterBreak="0">
    <w:nsid w:val="66AD50B6"/>
    <w:multiLevelType w:val="hybridMultilevel"/>
    <w:tmpl w:val="56CAE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6E5B86"/>
    <w:multiLevelType w:val="hybridMultilevel"/>
    <w:tmpl w:val="1E201E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379342">
    <w:abstractNumId w:val="0"/>
  </w:num>
  <w:num w:numId="2" w16cid:durableId="1017923064">
    <w:abstractNumId w:val="2"/>
  </w:num>
  <w:num w:numId="3" w16cid:durableId="7119228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836"/>
    <w:rsid w:val="00000CE3"/>
    <w:rsid w:val="00074C7A"/>
    <w:rsid w:val="00131D2A"/>
    <w:rsid w:val="00136B0A"/>
    <w:rsid w:val="00172A4C"/>
    <w:rsid w:val="001807EC"/>
    <w:rsid w:val="001A6995"/>
    <w:rsid w:val="001C6F5E"/>
    <w:rsid w:val="00403547"/>
    <w:rsid w:val="004035D8"/>
    <w:rsid w:val="00404330"/>
    <w:rsid w:val="00435C75"/>
    <w:rsid w:val="00493FC5"/>
    <w:rsid w:val="004D4D38"/>
    <w:rsid w:val="00541555"/>
    <w:rsid w:val="0056222C"/>
    <w:rsid w:val="0059090B"/>
    <w:rsid w:val="005C3075"/>
    <w:rsid w:val="005C6186"/>
    <w:rsid w:val="005F1122"/>
    <w:rsid w:val="006059AE"/>
    <w:rsid w:val="007060B9"/>
    <w:rsid w:val="0071484A"/>
    <w:rsid w:val="007156E7"/>
    <w:rsid w:val="00732EF6"/>
    <w:rsid w:val="00775A33"/>
    <w:rsid w:val="007834F6"/>
    <w:rsid w:val="007F67A8"/>
    <w:rsid w:val="00854EF6"/>
    <w:rsid w:val="008A01E4"/>
    <w:rsid w:val="00941DD9"/>
    <w:rsid w:val="00971AB4"/>
    <w:rsid w:val="00981F30"/>
    <w:rsid w:val="009B1836"/>
    <w:rsid w:val="009B3A81"/>
    <w:rsid w:val="009E4268"/>
    <w:rsid w:val="00A62816"/>
    <w:rsid w:val="00AC4F07"/>
    <w:rsid w:val="00AD1C0D"/>
    <w:rsid w:val="00B72806"/>
    <w:rsid w:val="00CF64B1"/>
    <w:rsid w:val="00D941B4"/>
    <w:rsid w:val="00E0435C"/>
    <w:rsid w:val="00E104DA"/>
    <w:rsid w:val="00E72DA7"/>
    <w:rsid w:val="00EF7B75"/>
    <w:rsid w:val="00F204DA"/>
    <w:rsid w:val="00F53166"/>
    <w:rsid w:val="00F75947"/>
    <w:rsid w:val="00F94101"/>
    <w:rsid w:val="00F962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EC661"/>
  <w15:docId w15:val="{735AE1D2-917F-4C0C-AEDD-6035E17D9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836"/>
    <w:pPr>
      <w:spacing w:after="0" w:line="240" w:lineRule="auto"/>
    </w:pPr>
    <w:rPr>
      <w:rFonts w:ascii="Times New Roman" w:eastAsia="Times New Roman" w:hAnsi="Times New Roman" w:cs="Times New Roman"/>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1836"/>
    <w:pPr>
      <w:tabs>
        <w:tab w:val="center" w:pos="4680"/>
        <w:tab w:val="right" w:pos="9360"/>
      </w:tabs>
    </w:pPr>
  </w:style>
  <w:style w:type="character" w:customStyle="1" w:styleId="HeaderChar">
    <w:name w:val="Header Char"/>
    <w:basedOn w:val="DefaultParagraphFont"/>
    <w:link w:val="Header"/>
    <w:uiPriority w:val="99"/>
    <w:rsid w:val="009B1836"/>
  </w:style>
  <w:style w:type="paragraph" w:styleId="Footer">
    <w:name w:val="footer"/>
    <w:basedOn w:val="Normal"/>
    <w:link w:val="FooterChar"/>
    <w:uiPriority w:val="99"/>
    <w:unhideWhenUsed/>
    <w:rsid w:val="009B1836"/>
    <w:pPr>
      <w:tabs>
        <w:tab w:val="center" w:pos="4680"/>
        <w:tab w:val="right" w:pos="9360"/>
      </w:tabs>
    </w:pPr>
  </w:style>
  <w:style w:type="character" w:customStyle="1" w:styleId="FooterChar">
    <w:name w:val="Footer Char"/>
    <w:basedOn w:val="DefaultParagraphFont"/>
    <w:link w:val="Footer"/>
    <w:uiPriority w:val="99"/>
    <w:rsid w:val="009B1836"/>
  </w:style>
  <w:style w:type="paragraph" w:styleId="ListParagraph">
    <w:name w:val="List Paragraph"/>
    <w:basedOn w:val="Normal"/>
    <w:uiPriority w:val="34"/>
    <w:qFormat/>
    <w:rsid w:val="001C6F5E"/>
    <w:pPr>
      <w:ind w:left="720"/>
      <w:contextualSpacing/>
    </w:pPr>
  </w:style>
  <w:style w:type="paragraph" w:customStyle="1" w:styleId="Default">
    <w:name w:val="Default"/>
    <w:rsid w:val="001C6F5E"/>
    <w:pPr>
      <w:autoSpaceDE w:val="0"/>
      <w:autoSpaceDN w:val="0"/>
      <w:adjustRightInd w:val="0"/>
      <w:spacing w:after="0" w:line="240" w:lineRule="auto"/>
    </w:pPr>
    <w:rPr>
      <w:rFonts w:ascii="Arial" w:eastAsiaTheme="minorHAnsi" w:hAnsi="Arial" w:cs="Arial"/>
      <w:color w:val="000000"/>
      <w:sz w:val="24"/>
      <w:szCs w:val="24"/>
      <w:lang w:eastAsia="en-US"/>
    </w:rPr>
  </w:style>
  <w:style w:type="character" w:styleId="Hyperlink">
    <w:name w:val="Hyperlink"/>
    <w:basedOn w:val="DefaultParagraphFont"/>
    <w:uiPriority w:val="99"/>
    <w:unhideWhenUsed/>
    <w:rsid w:val="001C6F5E"/>
    <w:rPr>
      <w:color w:val="0563C1" w:themeColor="hyperlink"/>
      <w:u w:val="single"/>
    </w:rPr>
  </w:style>
  <w:style w:type="paragraph" w:styleId="EndnoteText">
    <w:name w:val="endnote text"/>
    <w:basedOn w:val="Normal"/>
    <w:link w:val="EndnoteTextChar"/>
    <w:uiPriority w:val="99"/>
    <w:semiHidden/>
    <w:unhideWhenUsed/>
    <w:rsid w:val="001C6F5E"/>
    <w:rPr>
      <w:rFonts w:asciiTheme="minorHAnsi" w:eastAsiaTheme="minorHAnsi" w:hAnsiTheme="minorHAnsi" w:cstheme="minorBidi"/>
      <w:sz w:val="20"/>
    </w:rPr>
  </w:style>
  <w:style w:type="character" w:customStyle="1" w:styleId="EndnoteTextChar">
    <w:name w:val="Endnote Text Char"/>
    <w:basedOn w:val="DefaultParagraphFont"/>
    <w:link w:val="EndnoteText"/>
    <w:uiPriority w:val="99"/>
    <w:semiHidden/>
    <w:rsid w:val="001C6F5E"/>
    <w:rPr>
      <w:rFonts w:eastAsiaTheme="minorHAnsi"/>
      <w:sz w:val="20"/>
      <w:szCs w:val="20"/>
      <w:lang w:eastAsia="en-US"/>
    </w:rPr>
  </w:style>
  <w:style w:type="character" w:styleId="EndnoteReference">
    <w:name w:val="endnote reference"/>
    <w:basedOn w:val="DefaultParagraphFont"/>
    <w:uiPriority w:val="99"/>
    <w:semiHidden/>
    <w:unhideWhenUsed/>
    <w:rsid w:val="001C6F5E"/>
    <w:rPr>
      <w:vertAlign w:val="superscript"/>
    </w:rPr>
  </w:style>
  <w:style w:type="table" w:styleId="TableGrid">
    <w:name w:val="Table Grid"/>
    <w:basedOn w:val="TableNormal"/>
    <w:uiPriority w:val="59"/>
    <w:rsid w:val="004035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D4D38"/>
    <w:rPr>
      <w:color w:val="954F72" w:themeColor="followedHyperlink"/>
      <w:u w:val="single"/>
    </w:rPr>
  </w:style>
  <w:style w:type="character" w:styleId="UnresolvedMention">
    <w:name w:val="Unresolved Mention"/>
    <w:basedOn w:val="DefaultParagraphFont"/>
    <w:uiPriority w:val="99"/>
    <w:semiHidden/>
    <w:unhideWhenUsed/>
    <w:rsid w:val="004D4D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575888">
      <w:bodyDiv w:val="1"/>
      <w:marLeft w:val="0"/>
      <w:marRight w:val="0"/>
      <w:marTop w:val="0"/>
      <w:marBottom w:val="0"/>
      <w:divBdr>
        <w:top w:val="none" w:sz="0" w:space="0" w:color="auto"/>
        <w:left w:val="none" w:sz="0" w:space="0" w:color="auto"/>
        <w:bottom w:val="none" w:sz="0" w:space="0" w:color="auto"/>
        <w:right w:val="none" w:sz="0" w:space="0" w:color="auto"/>
      </w:divBdr>
      <w:divsChild>
        <w:div w:id="2098598260">
          <w:marLeft w:val="0"/>
          <w:marRight w:val="0"/>
          <w:marTop w:val="120"/>
          <w:marBottom w:val="0"/>
          <w:divBdr>
            <w:top w:val="none" w:sz="0" w:space="0" w:color="auto"/>
            <w:left w:val="none" w:sz="0" w:space="0" w:color="auto"/>
            <w:bottom w:val="none" w:sz="0" w:space="0" w:color="auto"/>
            <w:right w:val="none" w:sz="0" w:space="0" w:color="auto"/>
          </w:divBdr>
        </w:div>
        <w:div w:id="1013998450">
          <w:marLeft w:val="0"/>
          <w:marRight w:val="0"/>
          <w:marTop w:val="120"/>
          <w:marBottom w:val="0"/>
          <w:divBdr>
            <w:top w:val="none" w:sz="0" w:space="0" w:color="auto"/>
            <w:left w:val="none" w:sz="0" w:space="0" w:color="auto"/>
            <w:bottom w:val="none" w:sz="0" w:space="0" w:color="auto"/>
            <w:right w:val="none" w:sz="0" w:space="0" w:color="auto"/>
          </w:divBdr>
        </w:div>
        <w:div w:id="748160947">
          <w:marLeft w:val="0"/>
          <w:marRight w:val="0"/>
          <w:marTop w:val="120"/>
          <w:marBottom w:val="0"/>
          <w:divBdr>
            <w:top w:val="none" w:sz="0" w:space="0" w:color="auto"/>
            <w:left w:val="none" w:sz="0" w:space="0" w:color="auto"/>
            <w:bottom w:val="none" w:sz="0" w:space="0" w:color="auto"/>
            <w:right w:val="none" w:sz="0" w:space="0" w:color="auto"/>
          </w:divBdr>
        </w:div>
        <w:div w:id="50885728">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cfpub.epa.gov/si/si_public_record_report.cfm?dirEntryId=336499&amp;Lab=NER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982</Words>
  <Characters>5604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Shell</Company>
  <LinksUpToDate>false</LinksUpToDate>
  <CharactersWithSpaces>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Collet (TMNA)</dc:creator>
  <cp:keywords>PUBLIC/NONE</cp:keywords>
  <cp:lastModifiedBy>Rebecca Kang</cp:lastModifiedBy>
  <cp:revision>4</cp:revision>
  <dcterms:created xsi:type="dcterms:W3CDTF">2025-07-14T15:38:00Z</dcterms:created>
  <dcterms:modified xsi:type="dcterms:W3CDTF">2026-05-01T14:05:00Z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4abb6cc3-4dc9-420b-b72f-baac987630f7</vt:lpwstr>
  </property>
  <property fmtid="{D5CDD505-2E9C-101B-9397-08002B2CF9AE}" pid="3" name="ToyotaClassification">
    <vt:lpwstr>PUBLIC</vt:lpwstr>
  </property>
  <property fmtid="{D5CDD505-2E9C-101B-9397-08002B2CF9AE}" pid="4" name="ToyotaVisualMarkings">
    <vt:lpwstr>Top Left</vt:lpwstr>
  </property>
</Properties>
</file>