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0A525" w14:textId="77777777" w:rsidR="00A426C5" w:rsidRPr="004B3F5D" w:rsidRDefault="00A426C5">
      <w:pPr>
        <w:jc w:val="center"/>
        <w:outlineLvl w:val="0"/>
        <w:rPr>
          <w:rFonts w:ascii="Copperplate Gothic Bold" w:hAnsi="Copperplate Gothic Bold"/>
          <w:b/>
          <w:sz w:val="2"/>
          <w:szCs w:val="2"/>
        </w:rPr>
      </w:pPr>
    </w:p>
    <w:p w14:paraId="6F5C4D10" w14:textId="77777777" w:rsidR="006307DF" w:rsidRDefault="0062627F">
      <w:pPr>
        <w:jc w:val="center"/>
        <w:outlineLvl w:val="0"/>
        <w:rPr>
          <w:rFonts w:ascii="Copperplate Gothic Bold" w:hAnsi="Copperplate Gothic Bold"/>
          <w:b/>
        </w:rPr>
      </w:pPr>
      <w:r>
        <w:rPr>
          <w:noProof/>
          <w:sz w:val="2"/>
          <w:szCs w:val="2"/>
        </w:rPr>
        <w:drawing>
          <wp:anchor distT="0" distB="0" distL="114300" distR="114300" simplePos="0" relativeHeight="251657728" behindDoc="0" locked="0" layoutInCell="1" allowOverlap="1" wp14:anchorId="7723E6F8" wp14:editId="3760B17A">
            <wp:simplePos x="0" y="0"/>
            <wp:positionH relativeFrom="column">
              <wp:posOffset>51435</wp:posOffset>
            </wp:positionH>
            <wp:positionV relativeFrom="paragraph">
              <wp:posOffset>48895</wp:posOffset>
            </wp:positionV>
            <wp:extent cx="685800" cy="685800"/>
            <wp:effectExtent l="19050" t="0" r="0" b="0"/>
            <wp:wrapSquare wrapText="bothSides"/>
            <wp:docPr id="4" name="Picture 4" descr="CR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 Logo Small"/>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r w:rsidR="006307DF" w:rsidRPr="00A426C5">
        <w:rPr>
          <w:rFonts w:ascii="Copperplate Gothic Bold" w:hAnsi="Copperplate Gothic Bold"/>
          <w:b/>
          <w:sz w:val="24"/>
          <w:szCs w:val="24"/>
        </w:rPr>
        <w:t>COORDINATING RESEARCH COUNCIL, INC</w:t>
      </w:r>
      <w:r w:rsidR="006307DF">
        <w:rPr>
          <w:rFonts w:ascii="Copperplate Gothic Bold" w:hAnsi="Copperplate Gothic Bold"/>
          <w:b/>
        </w:rPr>
        <w:t>.</w:t>
      </w:r>
    </w:p>
    <w:p w14:paraId="430549BC" w14:textId="77777777" w:rsidR="006307DF" w:rsidRDefault="0062627F" w:rsidP="0062627F">
      <w:pPr>
        <w:ind w:firstLine="720"/>
        <w:jc w:val="center"/>
        <w:outlineLvl w:val="0"/>
        <w:rPr>
          <w:rFonts w:ascii="Arial" w:hAnsi="Arial"/>
          <w:sz w:val="16"/>
        </w:rPr>
      </w:pPr>
      <w:r>
        <w:rPr>
          <w:rFonts w:ascii="Arial" w:hAnsi="Arial"/>
          <w:sz w:val="16"/>
        </w:rPr>
        <w:t>5755 NORTH POINT PARKWAY, SUITE 265</w:t>
      </w:r>
    </w:p>
    <w:p w14:paraId="3CEA92EE" w14:textId="77777777" w:rsidR="006307DF" w:rsidRPr="00E94F76" w:rsidRDefault="0062627F" w:rsidP="0062627F">
      <w:pPr>
        <w:jc w:val="center"/>
        <w:outlineLvl w:val="0"/>
        <w:rPr>
          <w:rFonts w:ascii="Arial" w:hAnsi="Arial"/>
          <w:sz w:val="16"/>
          <w:lang w:val="fr-FR"/>
        </w:rPr>
      </w:pPr>
      <w:r>
        <w:rPr>
          <w:rFonts w:ascii="Arial" w:hAnsi="Arial"/>
          <w:sz w:val="16"/>
        </w:rPr>
        <w:t xml:space="preserve">            </w:t>
      </w:r>
      <w:r w:rsidR="006307DF" w:rsidRPr="00E94F76">
        <w:rPr>
          <w:rFonts w:ascii="Arial" w:hAnsi="Arial"/>
          <w:sz w:val="16"/>
          <w:lang w:val="fr-FR"/>
        </w:rPr>
        <w:t>ALPHARETTA, GA  30022</w:t>
      </w:r>
    </w:p>
    <w:p w14:paraId="0E1381F1" w14:textId="77777777" w:rsidR="006307DF" w:rsidRPr="00E94F76" w:rsidRDefault="0062627F" w:rsidP="0062627F">
      <w:pPr>
        <w:jc w:val="center"/>
        <w:outlineLvl w:val="0"/>
        <w:rPr>
          <w:rFonts w:ascii="Arial" w:hAnsi="Arial"/>
          <w:sz w:val="16"/>
          <w:lang w:val="fr-FR"/>
        </w:rPr>
      </w:pPr>
      <w:r w:rsidRPr="00E94F76">
        <w:rPr>
          <w:rFonts w:ascii="Arial" w:hAnsi="Arial"/>
          <w:sz w:val="16"/>
          <w:lang w:val="fr-FR"/>
        </w:rPr>
        <w:t xml:space="preserve">               </w:t>
      </w:r>
      <w:proofErr w:type="gramStart"/>
      <w:r w:rsidR="006307DF" w:rsidRPr="00E94F76">
        <w:rPr>
          <w:rFonts w:ascii="Arial" w:hAnsi="Arial"/>
          <w:sz w:val="16"/>
          <w:lang w:val="fr-FR"/>
        </w:rPr>
        <w:t>TEL:</w:t>
      </w:r>
      <w:proofErr w:type="gramEnd"/>
      <w:r w:rsidR="006307DF" w:rsidRPr="00E94F76">
        <w:rPr>
          <w:rFonts w:ascii="Arial" w:hAnsi="Arial"/>
          <w:sz w:val="16"/>
          <w:lang w:val="fr-FR"/>
        </w:rPr>
        <w:t xml:space="preserve">  678/795-0506     FAX:  678/795-0509</w:t>
      </w:r>
    </w:p>
    <w:p w14:paraId="1D6CA6FC" w14:textId="77777777" w:rsidR="006307DF" w:rsidRPr="00E94F76" w:rsidRDefault="0062627F" w:rsidP="0062627F">
      <w:pPr>
        <w:jc w:val="center"/>
        <w:rPr>
          <w:rFonts w:ascii="Times" w:hAnsi="Times"/>
          <w:sz w:val="16"/>
          <w:lang w:val="fr-FR"/>
        </w:rPr>
      </w:pPr>
      <w:r w:rsidRPr="00E94F76">
        <w:rPr>
          <w:lang w:val="fr-FR"/>
        </w:rPr>
        <w:t xml:space="preserve">       </w:t>
      </w:r>
      <w:hyperlink r:id="rId8" w:history="1">
        <w:r w:rsidR="0077425F" w:rsidRPr="00E94F76">
          <w:rPr>
            <w:rStyle w:val="Hyperlink"/>
            <w:rFonts w:ascii="Arial" w:hAnsi="Arial"/>
            <w:sz w:val="16"/>
            <w:lang w:val="fr-FR"/>
          </w:rPr>
          <w:t>WWW.CRCAO.</w:t>
        </w:r>
        <w:r w:rsidR="0077425F" w:rsidRPr="00E94F76">
          <w:rPr>
            <w:rStyle w:val="Hyperlink"/>
            <w:rFonts w:ascii="Times" w:hAnsi="Times"/>
            <w:sz w:val="16"/>
            <w:lang w:val="fr-FR"/>
          </w:rPr>
          <w:t>ORG</w:t>
        </w:r>
      </w:hyperlink>
    </w:p>
    <w:p w14:paraId="6C4EE05E" w14:textId="77777777" w:rsidR="006307DF" w:rsidRPr="00E94F76" w:rsidRDefault="006307DF">
      <w:pPr>
        <w:rPr>
          <w:sz w:val="24"/>
          <w:u w:val="single"/>
          <w:lang w:val="fr-FR"/>
        </w:rPr>
      </w:pPr>
    </w:p>
    <w:p w14:paraId="290279A6" w14:textId="59D589C9" w:rsidR="006307DF" w:rsidRDefault="006307DF" w:rsidP="00B92075">
      <w:pPr>
        <w:tabs>
          <w:tab w:val="left" w:pos="5760"/>
          <w:tab w:val="left" w:pos="6480"/>
          <w:tab w:val="left" w:pos="7200"/>
          <w:tab w:val="left" w:pos="7920"/>
          <w:tab w:val="left" w:pos="8640"/>
          <w:tab w:val="right" w:pos="9360"/>
        </w:tabs>
        <w:rPr>
          <w:b/>
          <w:sz w:val="24"/>
        </w:rPr>
      </w:pPr>
      <w:r w:rsidRPr="00E94F76">
        <w:rPr>
          <w:b/>
          <w:sz w:val="23"/>
          <w:lang w:val="fr-FR"/>
        </w:rPr>
        <w:tab/>
      </w:r>
      <w:r w:rsidR="006C2E0D">
        <w:rPr>
          <w:b/>
          <w:sz w:val="24"/>
        </w:rPr>
        <w:t>June 17, 2020</w:t>
      </w:r>
    </w:p>
    <w:p w14:paraId="5F01A6C0" w14:textId="77777777" w:rsidR="006307DF" w:rsidRDefault="006307DF" w:rsidP="00B92075">
      <w:pPr>
        <w:tabs>
          <w:tab w:val="left" w:pos="5760"/>
          <w:tab w:val="left" w:pos="6480"/>
          <w:tab w:val="left" w:pos="7200"/>
          <w:tab w:val="left" w:pos="7920"/>
          <w:tab w:val="left" w:pos="8640"/>
          <w:tab w:val="right" w:pos="9360"/>
        </w:tabs>
        <w:rPr>
          <w:sz w:val="24"/>
        </w:rPr>
      </w:pPr>
      <w:r>
        <w:rPr>
          <w:b/>
          <w:sz w:val="24"/>
        </w:rPr>
        <w:tab/>
      </w:r>
      <w:r>
        <w:rPr>
          <w:sz w:val="24"/>
        </w:rPr>
        <w:t xml:space="preserve">In reply, refer to: </w:t>
      </w:r>
    </w:p>
    <w:p w14:paraId="5D66FE99" w14:textId="624A7DA3" w:rsidR="006307DF" w:rsidRDefault="006307DF" w:rsidP="00B92075">
      <w:pPr>
        <w:tabs>
          <w:tab w:val="left" w:pos="5760"/>
          <w:tab w:val="left" w:pos="5850"/>
          <w:tab w:val="left" w:pos="6480"/>
          <w:tab w:val="left" w:pos="7200"/>
          <w:tab w:val="left" w:pos="7920"/>
          <w:tab w:val="left" w:pos="8640"/>
          <w:tab w:val="right" w:pos="9360"/>
        </w:tabs>
        <w:rPr>
          <w:sz w:val="24"/>
        </w:rPr>
      </w:pPr>
      <w:r>
        <w:rPr>
          <w:sz w:val="24"/>
        </w:rPr>
        <w:tab/>
        <w:t xml:space="preserve">CRC Project No. </w:t>
      </w:r>
      <w:r w:rsidR="00B7399E" w:rsidRPr="00B7399E">
        <w:rPr>
          <w:sz w:val="24"/>
        </w:rPr>
        <w:t>AV-29-20</w:t>
      </w:r>
    </w:p>
    <w:p w14:paraId="53420E2B" w14:textId="77777777" w:rsidR="00D87FCB" w:rsidRDefault="00D87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14:paraId="2826789D"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Dear Prospective Bidder:</w:t>
      </w:r>
    </w:p>
    <w:p w14:paraId="66EDF59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51F300BD" w14:textId="26AFD4A9" w:rsidR="006307DF" w:rsidRPr="004047A6" w:rsidRDefault="006307DF" w:rsidP="002F2034">
      <w:pPr>
        <w:jc w:val="both"/>
        <w:rPr>
          <w:b/>
          <w:sz w:val="24"/>
        </w:rPr>
      </w:pPr>
      <w:r>
        <w:rPr>
          <w:sz w:val="24"/>
        </w:rPr>
        <w:t xml:space="preserve">The Coordinating Research Council (CRC) invites you to submit a written proposal to provide services </w:t>
      </w:r>
      <w:r w:rsidRPr="004047A6">
        <w:rPr>
          <w:sz w:val="24"/>
        </w:rPr>
        <w:t xml:space="preserve">for </w:t>
      </w:r>
      <w:r w:rsidR="00B46C89" w:rsidRPr="00B46C89">
        <w:rPr>
          <w:sz w:val="24"/>
        </w:rPr>
        <w:t>“A Review of Current Experimental and Correlation Methods to Determine the Calorific Energy Content of Liquid Fuels</w:t>
      </w:r>
      <w:r w:rsidR="00D87FCB">
        <w:rPr>
          <w:sz w:val="24"/>
        </w:rPr>
        <w:t>”</w:t>
      </w:r>
      <w:r w:rsidR="00745B50" w:rsidRPr="00745B50">
        <w:rPr>
          <w:sz w:val="24"/>
        </w:rPr>
        <w:t xml:space="preserve"> </w:t>
      </w:r>
      <w:r>
        <w:rPr>
          <w:sz w:val="24"/>
        </w:rPr>
        <w:t xml:space="preserve">(CRC Project No. </w:t>
      </w:r>
      <w:r w:rsidR="00B7399E" w:rsidRPr="00B7399E">
        <w:rPr>
          <w:sz w:val="24"/>
        </w:rPr>
        <w:t>AV-29-20</w:t>
      </w:r>
      <w:r w:rsidR="00F63A6D">
        <w:rPr>
          <w:sz w:val="24"/>
        </w:rPr>
        <w:t xml:space="preserve">). </w:t>
      </w:r>
      <w:r>
        <w:rPr>
          <w:sz w:val="24"/>
        </w:rPr>
        <w:t>A description of the project is presented in Exhibit A, “Statement of Work.”</w:t>
      </w:r>
      <w:r w:rsidR="00F63A6D">
        <w:rPr>
          <w:sz w:val="24"/>
        </w:rPr>
        <w:t xml:space="preserve"> </w:t>
      </w:r>
    </w:p>
    <w:p w14:paraId="7270218F"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rPr>
      </w:pPr>
    </w:p>
    <w:p w14:paraId="52C44F0D" w14:textId="307A1761" w:rsidR="006307DF" w:rsidRPr="00E43818" w:rsidRDefault="006307DF">
      <w:pPr>
        <w:pStyle w:val="BodyTextIndent"/>
        <w:ind w:firstLine="0"/>
        <w:jc w:val="both"/>
        <w:rPr>
          <w:b/>
          <w:sz w:val="24"/>
        </w:rPr>
      </w:pPr>
      <w:r>
        <w:rPr>
          <w:sz w:val="24"/>
        </w:rPr>
        <w:t xml:space="preserve">Please indicate by letter, fax, or email by </w:t>
      </w:r>
      <w:r w:rsidR="00B46C89">
        <w:rPr>
          <w:b/>
          <w:sz w:val="24"/>
        </w:rPr>
        <w:t xml:space="preserve">July 1, 2020 </w:t>
      </w:r>
      <w:r>
        <w:rPr>
          <w:sz w:val="24"/>
        </w:rPr>
        <w:t xml:space="preserve"> </w:t>
      </w:r>
      <w:r w:rsidR="005D4919">
        <w:rPr>
          <w:sz w:val="24"/>
        </w:rPr>
        <w:t>if</w:t>
      </w:r>
      <w:r>
        <w:rPr>
          <w:sz w:val="24"/>
        </w:rPr>
        <w:t xml:space="preserve"> you or your organization intends to submit a written proposal for this research program.  CRC will answer technical questions regarding the Request for Proposal if they are submitted in writing.  CRC will then return written answers to all of the bidders, along with a copy of the original questions.</w:t>
      </w:r>
    </w:p>
    <w:p w14:paraId="50199956"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011C5C80"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 CRC technical group composed of industry representatives will evaluate your proposal.  CRC reserves the right to accept or reject any or all proposals.</w:t>
      </w:r>
    </w:p>
    <w:p w14:paraId="38154F5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rPr>
      </w:pPr>
    </w:p>
    <w:p w14:paraId="2490FF2B" w14:textId="77777777" w:rsidR="001F2F34" w:rsidRDefault="006307DF"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The reporting requirements will be monthly progress reports and a summary technical report at the end of the contractual period.  The reporting requirements are described in more detail in the attachment entitled “Reports” (Exhibit B).</w:t>
      </w:r>
      <w:r w:rsidR="001F2F34" w:rsidRPr="001F2F34">
        <w:rPr>
          <w:sz w:val="24"/>
        </w:rPr>
        <w:t xml:space="preserve"> </w:t>
      </w:r>
      <w:r w:rsidR="001F2F34">
        <w:rPr>
          <w:sz w:val="24"/>
        </w:rPr>
        <w:t xml:space="preserve">Contract language for intellectual property and liability clauses is presented in Exhibit C and in Exhibit D, respectively. Important selection factors to be </w:t>
      </w:r>
      <w:proofErr w:type="gramStart"/>
      <w:r w:rsidR="001F2F34">
        <w:rPr>
          <w:sz w:val="24"/>
        </w:rPr>
        <w:t>taken into account</w:t>
      </w:r>
      <w:proofErr w:type="gramEnd"/>
      <w:r w:rsidR="001F2F34">
        <w:rPr>
          <w:sz w:val="24"/>
        </w:rPr>
        <w:t xml:space="preserve"> are listed in Exhibit E.  CRC evaluation procedures require the technical group to complete a thorough technical evaluation before considering costs.  After developing a recommendation based on technical considerations, the costs are revealed and the recommendation is modified as needed.</w:t>
      </w:r>
    </w:p>
    <w:p w14:paraId="6999D5A8"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4DA68158" w14:textId="77777777" w:rsidR="006307DF" w:rsidRPr="001F2F34"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u w:val="single"/>
        </w:rPr>
      </w:pPr>
      <w:r w:rsidRPr="001F2F34">
        <w:rPr>
          <w:b/>
          <w:sz w:val="24"/>
        </w:rPr>
        <w:t>The proposal must be submitted as two separate documents.</w:t>
      </w:r>
      <w:r>
        <w:rPr>
          <w:sz w:val="24"/>
        </w:rPr>
        <w:t xml:space="preserve">  The technical approach to the problem will be described in part one, and a cost breakdown that is priced by task will be described in part two.  The cost proposal document should include all costs associated with conducting the proposed program.  The technical proposal shall </w:t>
      </w:r>
      <w:r w:rsidR="00D51C96">
        <w:rPr>
          <w:sz w:val="24"/>
        </w:rPr>
        <w:t>not be</w:t>
      </w:r>
      <w:r>
        <w:rPr>
          <w:sz w:val="24"/>
        </w:rPr>
        <w:t xml:space="preserve"> longer than </w:t>
      </w:r>
      <w:r w:rsidR="00BF607E">
        <w:rPr>
          <w:sz w:val="24"/>
        </w:rPr>
        <w:t>10</w:t>
      </w:r>
      <w:r>
        <w:rPr>
          <w:sz w:val="24"/>
        </w:rPr>
        <w:t xml:space="preserve"> pages in length</w:t>
      </w:r>
      <w:r w:rsidR="00D87FCB">
        <w:rPr>
          <w:sz w:val="24"/>
        </w:rPr>
        <w:t xml:space="preserve"> (not including resumes)</w:t>
      </w:r>
      <w:r>
        <w:rPr>
          <w:sz w:val="24"/>
        </w:rPr>
        <w:t>.</w:t>
      </w:r>
      <w:r w:rsidR="00D87FCB">
        <w:rPr>
          <w:sz w:val="24"/>
        </w:rPr>
        <w:t xml:space="preserve"> </w:t>
      </w:r>
      <w:r w:rsidR="00D87FCB" w:rsidRPr="001F2F34">
        <w:rPr>
          <w:b/>
          <w:sz w:val="24"/>
          <w:u w:val="single"/>
        </w:rPr>
        <w:t xml:space="preserve">The schedule / timeline information should be included in the technical proposal. </w:t>
      </w:r>
    </w:p>
    <w:p w14:paraId="07BCFBB7"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781160C9" w14:textId="77777777" w:rsidR="006307DF" w:rsidRDefault="00AA3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AA370C">
        <w:rPr>
          <w:sz w:val="24"/>
        </w:rPr>
        <w:t>CRC expects to negotiate a cost-plus fixed fee or cost reimbursement contract for the research program.</w:t>
      </w:r>
    </w:p>
    <w:p w14:paraId="4DBAFFE5" w14:textId="77777777" w:rsidR="00D87FCB" w:rsidRDefault="00D87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9F7DE38" w14:textId="56DFAFEA"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w:t>
      </w:r>
      <w:r w:rsidR="006307DF">
        <w:rPr>
          <w:sz w:val="24"/>
        </w:rPr>
        <w:t>he technical and cost proposal</w:t>
      </w:r>
      <w:r w:rsidR="00E114A8">
        <w:rPr>
          <w:sz w:val="24"/>
        </w:rPr>
        <w:t>s</w:t>
      </w:r>
      <w:r w:rsidR="006307DF">
        <w:rPr>
          <w:sz w:val="24"/>
        </w:rPr>
        <w:t xml:space="preserve"> should be submitted to:</w:t>
      </w:r>
      <w:r>
        <w:rPr>
          <w:sz w:val="24"/>
        </w:rPr>
        <w:t xml:space="preserve"> </w:t>
      </w:r>
    </w:p>
    <w:p w14:paraId="5514BEA5" w14:textId="77777777" w:rsidR="006307DF" w:rsidRDefault="00C14265"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r w:rsidRPr="001F2F34">
        <w:rPr>
          <w:b/>
          <w:sz w:val="24"/>
        </w:rPr>
        <w:t>Chris</w:t>
      </w:r>
      <w:r w:rsidR="001628D1" w:rsidRPr="001F2F34">
        <w:rPr>
          <w:b/>
          <w:sz w:val="24"/>
        </w:rPr>
        <w:t>topher J.</w:t>
      </w:r>
      <w:r w:rsidRPr="001F2F34">
        <w:rPr>
          <w:b/>
          <w:sz w:val="24"/>
        </w:rPr>
        <w:t xml:space="preserve"> Tennant</w:t>
      </w:r>
      <w:r w:rsidR="001F2F34" w:rsidRPr="001F2F34">
        <w:rPr>
          <w:b/>
          <w:sz w:val="24"/>
        </w:rPr>
        <w:t xml:space="preserve">  </w:t>
      </w:r>
      <w:r w:rsidR="001F2F34">
        <w:rPr>
          <w:b/>
          <w:sz w:val="24"/>
        </w:rPr>
        <w:tab/>
      </w:r>
      <w:r w:rsidR="006307DF" w:rsidRPr="001F2F34">
        <w:rPr>
          <w:sz w:val="24"/>
        </w:rPr>
        <w:t>Email</w:t>
      </w:r>
      <w:r w:rsidR="004255F8" w:rsidRPr="001F2F34">
        <w:rPr>
          <w:sz w:val="24"/>
        </w:rPr>
        <w:t>:</w:t>
      </w:r>
      <w:r w:rsidR="004255F8" w:rsidRPr="001F2F34">
        <w:rPr>
          <w:b/>
          <w:sz w:val="24"/>
        </w:rPr>
        <w:t xml:space="preserve"> </w:t>
      </w:r>
      <w:hyperlink r:id="rId9" w:history="1">
        <w:r w:rsidR="001F2F34" w:rsidRPr="002522F9">
          <w:rPr>
            <w:rStyle w:val="Hyperlink"/>
            <w:b/>
            <w:sz w:val="24"/>
          </w:rPr>
          <w:t>ctennant@crcao.org</w:t>
        </w:r>
      </w:hyperlink>
    </w:p>
    <w:p w14:paraId="69F62D8D" w14:textId="77777777"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243E72EF" w14:textId="0ABC3694"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The deadline for receipt of your proposal is </w:t>
      </w:r>
      <w:r w:rsidR="00B46C89">
        <w:rPr>
          <w:b/>
          <w:sz w:val="24"/>
        </w:rPr>
        <w:t>July 17, 2020</w:t>
      </w:r>
    </w:p>
    <w:p w14:paraId="0ACC0635" w14:textId="77777777" w:rsidR="00BD59A1" w:rsidRDefault="006307DF" w:rsidP="00BD59A1">
      <w:pPr>
        <w:keepNext/>
        <w:keepLines/>
        <w:numPr>
          <w:ilvl w:val="12"/>
          <w:numId w:val="0"/>
        </w:numPr>
        <w:jc w:val="center"/>
        <w:outlineLvl w:val="0"/>
        <w:rPr>
          <w:b/>
          <w:sz w:val="24"/>
          <w:szCs w:val="24"/>
        </w:rPr>
      </w:pPr>
      <w:r>
        <w:rPr>
          <w:sz w:val="24"/>
        </w:rPr>
        <w:br w:type="page"/>
      </w:r>
      <w:r w:rsidR="00666D39" w:rsidRPr="002F2034">
        <w:rPr>
          <w:b/>
          <w:sz w:val="24"/>
          <w:szCs w:val="24"/>
        </w:rPr>
        <w:lastRenderedPageBreak/>
        <w:t>EXHIBIT A</w:t>
      </w:r>
    </w:p>
    <w:p w14:paraId="15127375" w14:textId="77777777" w:rsidR="00C612A1" w:rsidRDefault="00BD59A1" w:rsidP="001628D1">
      <w:pPr>
        <w:keepNext/>
        <w:keepLines/>
        <w:numPr>
          <w:ilvl w:val="12"/>
          <w:numId w:val="0"/>
        </w:numPr>
        <w:jc w:val="center"/>
        <w:outlineLvl w:val="0"/>
        <w:rPr>
          <w:b/>
          <w:sz w:val="24"/>
          <w:szCs w:val="24"/>
        </w:rPr>
      </w:pPr>
      <w:r w:rsidRPr="00BD59A1">
        <w:rPr>
          <w:b/>
          <w:sz w:val="24"/>
          <w:szCs w:val="24"/>
        </w:rPr>
        <w:t>Statement of Work</w:t>
      </w:r>
    </w:p>
    <w:p w14:paraId="7FE3FBC8" w14:textId="77777777" w:rsidR="00C612A1" w:rsidRDefault="00C612A1" w:rsidP="001628D1">
      <w:pPr>
        <w:keepNext/>
        <w:keepLines/>
        <w:numPr>
          <w:ilvl w:val="12"/>
          <w:numId w:val="0"/>
        </w:numPr>
        <w:jc w:val="center"/>
        <w:outlineLvl w:val="0"/>
        <w:rPr>
          <w:b/>
          <w:sz w:val="24"/>
          <w:szCs w:val="24"/>
        </w:rPr>
      </w:pPr>
    </w:p>
    <w:p w14:paraId="18B7DCDF" w14:textId="77777777" w:rsidR="00B46C89" w:rsidRDefault="00B46C89" w:rsidP="00B46C89">
      <w:pPr>
        <w:jc w:val="center"/>
        <w:rPr>
          <w:rStyle w:val="ProjectTitle"/>
        </w:rPr>
      </w:pPr>
      <w:r>
        <w:rPr>
          <w:rStyle w:val="ProjectTitle"/>
        </w:rPr>
        <w:t>“A Review of Current Experimental and Correlation Methods to Determine the Calorific Energy Content of Liquid Fuels”</w:t>
      </w:r>
    </w:p>
    <w:p w14:paraId="00FF9399" w14:textId="77777777" w:rsidR="00B46C89" w:rsidRDefault="00B46C89" w:rsidP="00B46C89">
      <w:pPr>
        <w:rPr>
          <w:rFonts w:ascii="Arial" w:hAnsi="Arial" w:cs="Arial"/>
          <w:b/>
          <w:bCs/>
        </w:rPr>
      </w:pPr>
    </w:p>
    <w:p w14:paraId="1F46F620" w14:textId="38C88E15" w:rsidR="00B46C89" w:rsidRDefault="00B46C89" w:rsidP="00B46C89">
      <w:pPr>
        <w:rPr>
          <w:rFonts w:ascii="Arial" w:hAnsi="Arial" w:cs="Arial"/>
          <w:bCs/>
        </w:rPr>
      </w:pPr>
      <w:r>
        <w:rPr>
          <w:rFonts w:ascii="Arial" w:hAnsi="Arial" w:cs="Arial"/>
          <w:b/>
          <w:bCs/>
        </w:rPr>
        <w:t>Background</w:t>
      </w:r>
    </w:p>
    <w:p w14:paraId="005CE6EC" w14:textId="77777777" w:rsidR="00B46C89" w:rsidRDefault="00B46C89" w:rsidP="00B46C89">
      <w:pPr>
        <w:jc w:val="both"/>
        <w:rPr>
          <w:rFonts w:ascii="Arial" w:hAnsi="Arial" w:cs="Arial"/>
        </w:rPr>
      </w:pPr>
      <w:r>
        <w:rPr>
          <w:rFonts w:ascii="Arial" w:hAnsi="Arial" w:cs="Arial"/>
        </w:rPr>
        <w:t>Aviation fuel energy content represents a fundamental thermodynamic property, the energy available when a given weight of fuel is fully burnt under ideal conditions.  Results are usually expressed as MJ/kg or Btu/lb.  Aviation specifications set minimum values for this property to ensure aircraft will have sufficient flight range when loading a given quantity of fuel, for example:</w:t>
      </w:r>
    </w:p>
    <w:p w14:paraId="07138F2E" w14:textId="77777777" w:rsidR="00B46C89" w:rsidRDefault="00B46C89" w:rsidP="00B46C89">
      <w:pPr>
        <w:numPr>
          <w:ilvl w:val="0"/>
          <w:numId w:val="29"/>
        </w:numPr>
        <w:jc w:val="both"/>
        <w:rPr>
          <w:rFonts w:ascii="Arial" w:hAnsi="Arial" w:cs="Arial"/>
        </w:rPr>
      </w:pPr>
      <w:r>
        <w:rPr>
          <w:rFonts w:ascii="Arial" w:hAnsi="Arial" w:cs="Arial"/>
        </w:rPr>
        <w:t>Aviation Gasoline ASTM D910</w:t>
      </w:r>
      <w:r>
        <w:rPr>
          <w:rFonts w:ascii="Arial" w:hAnsi="Arial" w:cs="Arial"/>
          <w:vertAlign w:val="superscript"/>
        </w:rPr>
        <w:t>[1]</w:t>
      </w:r>
      <w:r>
        <w:rPr>
          <w:rFonts w:ascii="Arial" w:hAnsi="Arial" w:cs="Arial"/>
        </w:rPr>
        <w:t xml:space="preserve"> 43.5 MJ/kg minimum.</w:t>
      </w:r>
    </w:p>
    <w:p w14:paraId="146887F8" w14:textId="77777777" w:rsidR="00B46C89" w:rsidRDefault="00B46C89" w:rsidP="00B46C89">
      <w:pPr>
        <w:numPr>
          <w:ilvl w:val="0"/>
          <w:numId w:val="29"/>
        </w:numPr>
        <w:jc w:val="both"/>
        <w:rPr>
          <w:rFonts w:ascii="Arial" w:hAnsi="Arial" w:cs="Arial"/>
        </w:rPr>
      </w:pPr>
      <w:r>
        <w:rPr>
          <w:rFonts w:ascii="Arial" w:hAnsi="Arial" w:cs="Arial"/>
        </w:rPr>
        <w:t>Aviation Turbine Fuel ASTM D1655</w:t>
      </w:r>
      <w:r>
        <w:rPr>
          <w:rFonts w:ascii="Arial" w:hAnsi="Arial" w:cs="Arial"/>
          <w:vertAlign w:val="superscript"/>
        </w:rPr>
        <w:t>[1]</w:t>
      </w:r>
      <w:r>
        <w:rPr>
          <w:rFonts w:ascii="Arial" w:hAnsi="Arial" w:cs="Arial"/>
        </w:rPr>
        <w:t xml:space="preserve"> 42.8 MJ/kg minimum.</w:t>
      </w:r>
    </w:p>
    <w:p w14:paraId="0934F60D" w14:textId="67CE117F" w:rsidR="00B46C89" w:rsidRDefault="00B46C89" w:rsidP="00B46C89">
      <w:pPr>
        <w:numPr>
          <w:ilvl w:val="0"/>
          <w:numId w:val="29"/>
        </w:numPr>
        <w:jc w:val="both"/>
        <w:rPr>
          <w:rFonts w:ascii="Arial" w:hAnsi="Arial" w:cs="Arial"/>
        </w:rPr>
      </w:pPr>
      <w:r>
        <w:rPr>
          <w:rFonts w:ascii="Arial" w:hAnsi="Arial" w:cs="Arial"/>
        </w:rPr>
        <w:t>Jet B Wide-Cut Aviation Turbine Fuel ASTM 6615</w:t>
      </w:r>
      <w:r>
        <w:rPr>
          <w:rFonts w:ascii="Arial" w:hAnsi="Arial" w:cs="Arial"/>
          <w:vertAlign w:val="superscript"/>
        </w:rPr>
        <w:t>[1]</w:t>
      </w:r>
      <w:r>
        <w:rPr>
          <w:rFonts w:ascii="Arial" w:hAnsi="Arial" w:cs="Arial"/>
        </w:rPr>
        <w:t xml:space="preserve"> 42.8 MJ/kg minimum</w:t>
      </w:r>
    </w:p>
    <w:p w14:paraId="678228D3" w14:textId="77777777" w:rsidR="00B46C89" w:rsidRDefault="00B46C89" w:rsidP="00B46C89">
      <w:pPr>
        <w:ind w:left="720"/>
        <w:jc w:val="both"/>
        <w:rPr>
          <w:rFonts w:ascii="Arial" w:hAnsi="Arial" w:cs="Arial"/>
        </w:rPr>
      </w:pPr>
    </w:p>
    <w:p w14:paraId="4FD00775" w14:textId="77777777" w:rsidR="00B46C89" w:rsidRDefault="00B46C89" w:rsidP="00B46C89">
      <w:pPr>
        <w:jc w:val="both"/>
        <w:rPr>
          <w:rFonts w:ascii="Arial" w:hAnsi="Arial" w:cs="Arial"/>
        </w:rPr>
      </w:pPr>
      <w:r>
        <w:rPr>
          <w:rFonts w:ascii="Arial" w:hAnsi="Arial" w:cs="Arial"/>
        </w:rPr>
        <w:t xml:space="preserve">Experimental determination of energy content can be achieved by complete combustion of a known mass of fuel in excess oxygen using a Bomb Calorimeter.  Such instruments must be carefully designed and operated to ensure accurate measurements, for example </w:t>
      </w:r>
      <w:proofErr w:type="gramStart"/>
      <w:r>
        <w:rPr>
          <w:rFonts w:ascii="Arial" w:hAnsi="Arial" w:cs="Arial"/>
        </w:rPr>
        <w:t>taking into account</w:t>
      </w:r>
      <w:proofErr w:type="gramEnd"/>
      <w:r>
        <w:rPr>
          <w:rFonts w:ascii="Arial" w:hAnsi="Arial" w:cs="Arial"/>
        </w:rPr>
        <w:t xml:space="preserve"> heat loss / gain from surroundings and thermal mass.  Due to this complexity the aviation Industry prefer to utilize correlations to estimate fuel energy content, for example ASTM D3338</w:t>
      </w:r>
      <w:r>
        <w:rPr>
          <w:rFonts w:ascii="Arial" w:hAnsi="Arial" w:cs="Arial"/>
          <w:vertAlign w:val="superscript"/>
        </w:rPr>
        <w:t>[1]</w:t>
      </w:r>
      <w:r>
        <w:rPr>
          <w:rFonts w:ascii="Arial" w:hAnsi="Arial" w:cs="Arial"/>
        </w:rPr>
        <w:t xml:space="preserve"> based on distillation, </w:t>
      </w:r>
      <w:proofErr w:type="gramStart"/>
      <w:r>
        <w:rPr>
          <w:rFonts w:ascii="Arial" w:hAnsi="Arial" w:cs="Arial"/>
        </w:rPr>
        <w:t>density</w:t>
      </w:r>
      <w:proofErr w:type="gramEnd"/>
      <w:r>
        <w:rPr>
          <w:rFonts w:ascii="Arial" w:hAnsi="Arial" w:cs="Arial"/>
        </w:rPr>
        <w:t xml:space="preserve"> and sulfur.</w:t>
      </w:r>
    </w:p>
    <w:p w14:paraId="7ABAF492" w14:textId="77777777" w:rsidR="00B46C89" w:rsidRDefault="00B46C89" w:rsidP="00B46C89">
      <w:pPr>
        <w:jc w:val="both"/>
        <w:rPr>
          <w:rFonts w:ascii="Arial" w:hAnsi="Arial" w:cs="Arial"/>
        </w:rPr>
      </w:pPr>
    </w:p>
    <w:p w14:paraId="71457E1F" w14:textId="77777777" w:rsidR="00B46C89" w:rsidRDefault="00B46C89" w:rsidP="00B46C89">
      <w:pPr>
        <w:jc w:val="both"/>
        <w:rPr>
          <w:rFonts w:ascii="Arial" w:hAnsi="Arial" w:cs="Arial"/>
        </w:rPr>
      </w:pPr>
      <w:r>
        <w:rPr>
          <w:rFonts w:ascii="Arial" w:hAnsi="Arial" w:cs="Arial"/>
        </w:rPr>
        <w:t>While aviation fuel Bomb Calorimeter measurements are rare, the availability of suitable equipment is important for:</w:t>
      </w:r>
    </w:p>
    <w:p w14:paraId="1204597C" w14:textId="77777777" w:rsidR="00B46C89" w:rsidRDefault="00B46C89" w:rsidP="00B46C89">
      <w:pPr>
        <w:numPr>
          <w:ilvl w:val="0"/>
          <w:numId w:val="30"/>
        </w:numPr>
        <w:jc w:val="both"/>
        <w:rPr>
          <w:rFonts w:ascii="Arial" w:hAnsi="Arial" w:cs="Arial"/>
        </w:rPr>
      </w:pPr>
      <w:r>
        <w:rPr>
          <w:rFonts w:ascii="Arial" w:hAnsi="Arial" w:cs="Arial"/>
        </w:rPr>
        <w:t>Referee determination if a cargo of fuel is close to specification minimum.</w:t>
      </w:r>
    </w:p>
    <w:p w14:paraId="4BE9A504" w14:textId="77777777" w:rsidR="00B46C89" w:rsidRDefault="00B46C89" w:rsidP="00B46C89">
      <w:pPr>
        <w:numPr>
          <w:ilvl w:val="0"/>
          <w:numId w:val="30"/>
        </w:numPr>
        <w:jc w:val="both"/>
        <w:rPr>
          <w:rFonts w:ascii="Arial" w:hAnsi="Arial" w:cs="Arial"/>
        </w:rPr>
      </w:pPr>
      <w:r>
        <w:rPr>
          <w:rFonts w:ascii="Arial" w:hAnsi="Arial" w:cs="Arial"/>
        </w:rPr>
        <w:t>Evaluation of new aviation fuel production routes where product cannot be assumed to be within the scope of the correlation methods.</w:t>
      </w:r>
    </w:p>
    <w:p w14:paraId="7F77ECDC" w14:textId="77777777" w:rsidR="00B46C89" w:rsidRDefault="00B46C89" w:rsidP="00B46C89">
      <w:pPr>
        <w:jc w:val="both"/>
        <w:rPr>
          <w:rFonts w:ascii="Arial" w:hAnsi="Arial" w:cs="Arial"/>
        </w:rPr>
      </w:pPr>
    </w:p>
    <w:p w14:paraId="5D6C626B" w14:textId="7A393374" w:rsidR="00B46C89" w:rsidRDefault="00B46C89" w:rsidP="00B46C89">
      <w:pPr>
        <w:jc w:val="both"/>
        <w:rPr>
          <w:rFonts w:ascii="Arial" w:hAnsi="Arial" w:cs="Arial"/>
        </w:rPr>
      </w:pPr>
      <w:r>
        <w:rPr>
          <w:rFonts w:ascii="Arial" w:hAnsi="Arial" w:cs="Arial"/>
        </w:rPr>
        <w:t>During recent CRC / Energy Institute (EI) meetings it was observed that Industry methods for determination of calorific value, namely</w:t>
      </w:r>
    </w:p>
    <w:p w14:paraId="22088627" w14:textId="77777777" w:rsidR="00B46C89" w:rsidRDefault="00B46C89" w:rsidP="00B46C89">
      <w:pPr>
        <w:numPr>
          <w:ilvl w:val="0"/>
          <w:numId w:val="31"/>
        </w:numPr>
        <w:jc w:val="both"/>
        <w:rPr>
          <w:rFonts w:ascii="Arial" w:hAnsi="Arial" w:cs="Arial"/>
        </w:rPr>
      </w:pPr>
      <w:r>
        <w:rPr>
          <w:rFonts w:ascii="Arial" w:hAnsi="Arial" w:cs="Arial"/>
        </w:rPr>
        <w:t>D4809</w:t>
      </w:r>
      <w:r>
        <w:rPr>
          <w:rFonts w:ascii="Arial" w:hAnsi="Arial" w:cs="Arial"/>
          <w:vertAlign w:val="superscript"/>
        </w:rPr>
        <w:t>[1]</w:t>
      </w:r>
      <w:r>
        <w:rPr>
          <w:rFonts w:ascii="Arial" w:hAnsi="Arial" w:cs="Arial"/>
        </w:rPr>
        <w:t xml:space="preserve"> Test Method for Heat of Combustion of Liquid Hydrocarbon Fuels by Bomb Calorimeter (Precision Method)</w:t>
      </w:r>
    </w:p>
    <w:p w14:paraId="3C0F537F" w14:textId="77777777" w:rsidR="00B46C89" w:rsidRDefault="00B46C89" w:rsidP="00B46C89">
      <w:pPr>
        <w:numPr>
          <w:ilvl w:val="0"/>
          <w:numId w:val="31"/>
        </w:numPr>
        <w:jc w:val="both"/>
        <w:rPr>
          <w:rFonts w:ascii="Arial" w:hAnsi="Arial" w:cs="Arial"/>
        </w:rPr>
      </w:pPr>
      <w:r>
        <w:rPr>
          <w:rFonts w:ascii="Arial" w:hAnsi="Arial" w:cs="Arial"/>
        </w:rPr>
        <w:t>IP 12</w:t>
      </w:r>
      <w:r>
        <w:rPr>
          <w:rFonts w:ascii="Arial" w:hAnsi="Arial" w:cs="Arial"/>
          <w:vertAlign w:val="superscript"/>
        </w:rPr>
        <w:t>[2]</w:t>
      </w:r>
      <w:r>
        <w:rPr>
          <w:rFonts w:ascii="Arial" w:hAnsi="Arial" w:cs="Arial"/>
        </w:rPr>
        <w:t xml:space="preserve"> Determination of Specific Energy</w:t>
      </w:r>
    </w:p>
    <w:p w14:paraId="3302F3FF" w14:textId="36C6C0B7" w:rsidR="00B46C89" w:rsidRDefault="00B46C89" w:rsidP="00B46C89">
      <w:pPr>
        <w:jc w:val="both"/>
        <w:rPr>
          <w:rFonts w:ascii="Arial" w:hAnsi="Arial" w:cs="Arial"/>
        </w:rPr>
      </w:pPr>
      <w:r>
        <w:rPr>
          <w:rFonts w:ascii="Arial" w:hAnsi="Arial" w:cs="Arial"/>
        </w:rPr>
        <w:t xml:space="preserve">are becoming dated versus modern laboratory equipment.  In addition, an understanding of the development history, </w:t>
      </w:r>
      <w:proofErr w:type="gramStart"/>
      <w:r>
        <w:rPr>
          <w:rFonts w:ascii="Arial" w:hAnsi="Arial" w:cs="Arial"/>
        </w:rPr>
        <w:t>scope</w:t>
      </w:r>
      <w:proofErr w:type="gramEnd"/>
      <w:r>
        <w:rPr>
          <w:rFonts w:ascii="Arial" w:hAnsi="Arial" w:cs="Arial"/>
        </w:rPr>
        <w:t xml:space="preserve"> and limitation of correlation methods such as D3338 is important to ensure appropriate use.  As such, review of experimental / correlation techniques for aviation fuel energy content determination is proposed, the aim being to highlight opportunities for improvement / revision to benefit the Industry.</w:t>
      </w:r>
    </w:p>
    <w:p w14:paraId="135754B5" w14:textId="77777777" w:rsidR="00B46C89" w:rsidRDefault="00B46C89" w:rsidP="00B46C89">
      <w:pPr>
        <w:jc w:val="both"/>
        <w:rPr>
          <w:rFonts w:ascii="Arial" w:hAnsi="Arial" w:cs="Arial"/>
        </w:rPr>
      </w:pPr>
    </w:p>
    <w:p w14:paraId="185959C8" w14:textId="77777777" w:rsidR="00B46C89" w:rsidRDefault="00B46C89" w:rsidP="00B46C89">
      <w:pPr>
        <w:jc w:val="both"/>
        <w:rPr>
          <w:rFonts w:ascii="Arial" w:hAnsi="Arial" w:cs="Arial"/>
        </w:rPr>
      </w:pPr>
      <w:r>
        <w:rPr>
          <w:rFonts w:ascii="Arial" w:hAnsi="Arial" w:cs="Arial"/>
        </w:rPr>
        <w:t>At the request of CRC members, the project has been divided into two phases:</w:t>
      </w:r>
    </w:p>
    <w:p w14:paraId="36D5FFB6" w14:textId="77777777" w:rsidR="00B46C89" w:rsidRDefault="00B46C89" w:rsidP="00B46C89">
      <w:pPr>
        <w:pStyle w:val="ListParagraph"/>
        <w:numPr>
          <w:ilvl w:val="0"/>
          <w:numId w:val="32"/>
        </w:numPr>
        <w:jc w:val="both"/>
        <w:rPr>
          <w:rFonts w:ascii="Arial" w:eastAsia="Times New Roman" w:hAnsi="Arial" w:cs="Arial"/>
          <w:sz w:val="20"/>
          <w:szCs w:val="20"/>
        </w:rPr>
      </w:pPr>
      <w:r>
        <w:rPr>
          <w:rFonts w:ascii="Arial" w:eastAsia="Times New Roman" w:hAnsi="Arial" w:cs="Arial"/>
          <w:sz w:val="20"/>
          <w:szCs w:val="20"/>
        </w:rPr>
        <w:t xml:space="preserve">Phase 1 – Literature review of calorific instruments, </w:t>
      </w:r>
      <w:proofErr w:type="gramStart"/>
      <w:r>
        <w:rPr>
          <w:rFonts w:ascii="Arial" w:eastAsia="Times New Roman" w:hAnsi="Arial" w:cs="Arial"/>
          <w:sz w:val="20"/>
          <w:szCs w:val="20"/>
        </w:rPr>
        <w:t>methods</w:t>
      </w:r>
      <w:proofErr w:type="gramEnd"/>
      <w:r>
        <w:rPr>
          <w:rFonts w:ascii="Arial" w:eastAsia="Times New Roman" w:hAnsi="Arial" w:cs="Arial"/>
          <w:sz w:val="20"/>
          <w:szCs w:val="20"/>
        </w:rPr>
        <w:t xml:space="preserve"> and correlations.</w:t>
      </w:r>
    </w:p>
    <w:p w14:paraId="4ABFA97B" w14:textId="77777777" w:rsidR="00B46C89" w:rsidRDefault="00B46C89" w:rsidP="00B46C89">
      <w:pPr>
        <w:pStyle w:val="ListParagraph"/>
        <w:numPr>
          <w:ilvl w:val="0"/>
          <w:numId w:val="32"/>
        </w:numPr>
        <w:jc w:val="both"/>
        <w:rPr>
          <w:rFonts w:ascii="Arial" w:eastAsia="Times New Roman" w:hAnsi="Arial" w:cs="Arial"/>
          <w:sz w:val="20"/>
          <w:szCs w:val="20"/>
        </w:rPr>
      </w:pPr>
      <w:r>
        <w:rPr>
          <w:rFonts w:ascii="Arial" w:eastAsia="Times New Roman" w:hAnsi="Arial" w:cs="Arial"/>
          <w:sz w:val="20"/>
          <w:szCs w:val="20"/>
        </w:rPr>
        <w:t>Phase 2 – Experimental study.</w:t>
      </w:r>
    </w:p>
    <w:p w14:paraId="35D5AEA6" w14:textId="77777777" w:rsidR="00B46C89" w:rsidRDefault="00B46C89" w:rsidP="00B46C89">
      <w:pPr>
        <w:jc w:val="both"/>
        <w:rPr>
          <w:rFonts w:ascii="Arial" w:hAnsi="Arial" w:cs="Arial"/>
        </w:rPr>
      </w:pPr>
      <w:r>
        <w:rPr>
          <w:rFonts w:ascii="Arial" w:hAnsi="Arial" w:cs="Arial"/>
        </w:rPr>
        <w:t>This statement of work covers Phase 1, options for Phase 2 to be considered on completion and tailored to the inform gathered.</w:t>
      </w:r>
    </w:p>
    <w:p w14:paraId="6199DD69" w14:textId="77777777" w:rsidR="00B46C89" w:rsidRDefault="00B46C89" w:rsidP="00B46C89">
      <w:pPr>
        <w:jc w:val="both"/>
        <w:rPr>
          <w:rFonts w:ascii="Arial" w:hAnsi="Arial" w:cs="Arial"/>
        </w:rPr>
      </w:pPr>
    </w:p>
    <w:p w14:paraId="66CFED71" w14:textId="77777777" w:rsidR="00B46C89" w:rsidRDefault="00B46C89" w:rsidP="00B46C89">
      <w:pPr>
        <w:jc w:val="both"/>
        <w:rPr>
          <w:rFonts w:ascii="Arial" w:hAnsi="Arial" w:cs="Arial"/>
          <w:i/>
          <w:iCs/>
        </w:rPr>
      </w:pPr>
      <w:r>
        <w:rPr>
          <w:rFonts w:ascii="Arial" w:hAnsi="Arial" w:cs="Arial"/>
          <w:i/>
          <w:iCs/>
        </w:rPr>
        <w:t xml:space="preserve">Note: As Industry centers of expertise may differ for Phase 1 and Phase 2 project delivery, tenders for each Phase will be issued independently.  As such, an Offeror for Phase 1 does not also require the ability to complete Phase 2.  Equally, an Offeror who is unsuccessful in bidding for Phase 1, or does not wish to bid, will be most welcome to bid for Phase 2. </w:t>
      </w:r>
    </w:p>
    <w:p w14:paraId="51D50242" w14:textId="77777777" w:rsidR="00B46C89" w:rsidRDefault="00B46C89" w:rsidP="00B46C89">
      <w:pPr>
        <w:jc w:val="both"/>
        <w:rPr>
          <w:rFonts w:ascii="Arial" w:hAnsi="Arial" w:cs="Arial"/>
        </w:rPr>
      </w:pPr>
    </w:p>
    <w:p w14:paraId="73C481A1" w14:textId="77777777" w:rsidR="00B46C89" w:rsidRDefault="00B46C89" w:rsidP="00B46C89">
      <w:pPr>
        <w:jc w:val="both"/>
        <w:rPr>
          <w:rFonts w:ascii="Arial" w:eastAsiaTheme="minorHAnsi" w:hAnsi="Arial" w:cs="Arial"/>
          <w:b/>
          <w:bCs/>
          <w:sz w:val="22"/>
          <w:szCs w:val="22"/>
        </w:rPr>
      </w:pPr>
      <w:r>
        <w:rPr>
          <w:rFonts w:ascii="Arial" w:hAnsi="Arial" w:cs="Arial"/>
          <w:b/>
          <w:bCs/>
        </w:rPr>
        <w:t>Objective</w:t>
      </w:r>
    </w:p>
    <w:p w14:paraId="3382CC2F" w14:textId="77777777" w:rsidR="00B46C89" w:rsidRDefault="00B46C89" w:rsidP="00B46C89">
      <w:pPr>
        <w:jc w:val="both"/>
        <w:rPr>
          <w:rFonts w:ascii="Arial" w:hAnsi="Arial" w:cs="Arial"/>
        </w:rPr>
      </w:pPr>
    </w:p>
    <w:p w14:paraId="54ADEDA8" w14:textId="6CEBF780" w:rsidR="00B46C89" w:rsidRDefault="00B46C89" w:rsidP="00B46C89">
      <w:pPr>
        <w:jc w:val="both"/>
        <w:rPr>
          <w:rFonts w:ascii="Arial" w:hAnsi="Arial" w:cs="Arial"/>
        </w:rPr>
      </w:pPr>
      <w:r>
        <w:rPr>
          <w:rFonts w:ascii="Arial" w:hAnsi="Arial" w:cs="Arial"/>
        </w:rPr>
        <w:t>To provide a report reviewing current methods for the determination of the calorific energy content of liquid fuels.</w:t>
      </w:r>
    </w:p>
    <w:p w14:paraId="1A876E95" w14:textId="77777777" w:rsidR="00B46C89" w:rsidRDefault="00B46C89" w:rsidP="00B46C89">
      <w:pPr>
        <w:jc w:val="both"/>
        <w:rPr>
          <w:rFonts w:ascii="Arial" w:hAnsi="Arial" w:cs="Arial"/>
          <w:b/>
          <w:bCs/>
        </w:rPr>
      </w:pPr>
    </w:p>
    <w:p w14:paraId="50B49A3F" w14:textId="77777777" w:rsidR="00B46C89" w:rsidRDefault="00B46C89" w:rsidP="00B46C89">
      <w:pPr>
        <w:jc w:val="both"/>
        <w:rPr>
          <w:rFonts w:ascii="Arial" w:hAnsi="Arial" w:cs="Arial"/>
          <w:b/>
          <w:bCs/>
        </w:rPr>
      </w:pPr>
    </w:p>
    <w:p w14:paraId="2F831CBA" w14:textId="4305CDCA" w:rsidR="00B46C89" w:rsidRDefault="00B46C89" w:rsidP="00B46C89">
      <w:pPr>
        <w:jc w:val="both"/>
        <w:rPr>
          <w:rFonts w:ascii="Arial" w:hAnsi="Arial" w:cs="Arial"/>
          <w:b/>
          <w:bCs/>
          <w:sz w:val="22"/>
          <w:szCs w:val="22"/>
        </w:rPr>
      </w:pPr>
      <w:r>
        <w:rPr>
          <w:rFonts w:ascii="Arial" w:hAnsi="Arial" w:cs="Arial"/>
          <w:b/>
          <w:bCs/>
        </w:rPr>
        <w:lastRenderedPageBreak/>
        <w:t>Scope of Work</w:t>
      </w:r>
    </w:p>
    <w:p w14:paraId="53F1C51D" w14:textId="77777777" w:rsidR="00B46C89" w:rsidRDefault="00B46C89" w:rsidP="00B46C89">
      <w:pPr>
        <w:jc w:val="both"/>
        <w:rPr>
          <w:rStyle w:val="PlaceholderText"/>
          <w:color w:val="000000" w:themeColor="text1"/>
        </w:rPr>
      </w:pPr>
      <w:r>
        <w:rPr>
          <w:rStyle w:val="PlaceholderText"/>
          <w:rFonts w:ascii="Arial" w:hAnsi="Arial" w:cs="Arial"/>
          <w:color w:val="000000" w:themeColor="text1"/>
        </w:rPr>
        <w:t>To provide a report reviewing current methods to determine the calorific energy content of liquid fuels covering:</w:t>
      </w:r>
    </w:p>
    <w:p w14:paraId="7D23D68D"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proofErr w:type="spellStart"/>
      <w:r>
        <w:rPr>
          <w:rStyle w:val="PlaceholderText"/>
          <w:rFonts w:ascii="Arial" w:hAnsi="Arial" w:cs="Arial"/>
          <w:color w:val="000000" w:themeColor="text1"/>
        </w:rPr>
        <w:t>i</w:t>
      </w:r>
      <w:proofErr w:type="spellEnd"/>
      <w:r>
        <w:rPr>
          <w:rStyle w:val="PlaceholderText"/>
          <w:rFonts w:ascii="Arial" w:hAnsi="Arial" w:cs="Arial"/>
          <w:color w:val="000000" w:themeColor="text1"/>
        </w:rPr>
        <w:t>)</w:t>
      </w:r>
      <w:r>
        <w:rPr>
          <w:rStyle w:val="PlaceholderText"/>
          <w:rFonts w:ascii="Arial" w:hAnsi="Arial" w:cs="Arial"/>
          <w:color w:val="000000" w:themeColor="text1"/>
        </w:rPr>
        <w:tab/>
        <w:t>Laboratory methods / apparatus</w:t>
      </w:r>
    </w:p>
    <w:p w14:paraId="62EAEA70"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(ii)</w:t>
      </w:r>
      <w:r>
        <w:rPr>
          <w:rStyle w:val="PlaceholderText"/>
          <w:rFonts w:ascii="Arial" w:hAnsi="Arial" w:cs="Arial"/>
          <w:color w:val="000000" w:themeColor="text1"/>
        </w:rPr>
        <w:tab/>
        <w:t>Correlation methods</w:t>
      </w:r>
    </w:p>
    <w:p w14:paraId="6930B768" w14:textId="77777777" w:rsidR="00B46C89" w:rsidRDefault="00B46C89" w:rsidP="00B46C89">
      <w:pPr>
        <w:jc w:val="both"/>
        <w:rPr>
          <w:rStyle w:val="PlaceholderText"/>
          <w:rFonts w:ascii="Arial" w:hAnsi="Arial" w:cs="Arial"/>
          <w:color w:val="000000" w:themeColor="text1"/>
        </w:rPr>
      </w:pPr>
    </w:p>
    <w:p w14:paraId="0CF90021"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With respect to (</w:t>
      </w:r>
      <w:proofErr w:type="spellStart"/>
      <w:r>
        <w:rPr>
          <w:rStyle w:val="PlaceholderText"/>
          <w:rFonts w:ascii="Arial" w:hAnsi="Arial" w:cs="Arial"/>
          <w:color w:val="000000" w:themeColor="text1"/>
        </w:rPr>
        <w:t>i</w:t>
      </w:r>
      <w:proofErr w:type="spellEnd"/>
      <w:r>
        <w:rPr>
          <w:rStyle w:val="PlaceholderText"/>
          <w:rFonts w:ascii="Arial" w:hAnsi="Arial" w:cs="Arial"/>
          <w:color w:val="000000" w:themeColor="text1"/>
        </w:rPr>
        <w:t>), to include:</w:t>
      </w:r>
    </w:p>
    <w:p w14:paraId="4786A251"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The manufacturer of the equipment</w:t>
      </w:r>
    </w:p>
    <w:p w14:paraId="130DDD56"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Applicable fuel types (gasoline, kerosene, diesel, others)</w:t>
      </w:r>
    </w:p>
    <w:p w14:paraId="15F0F2E7"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Ease of use</w:t>
      </w:r>
    </w:p>
    <w:p w14:paraId="57A34668"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Precision</w:t>
      </w:r>
    </w:p>
    <w:p w14:paraId="2DD0F05B"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 xml:space="preserve">Qualification to known IP, </w:t>
      </w:r>
      <w:proofErr w:type="gramStart"/>
      <w:r>
        <w:rPr>
          <w:rStyle w:val="PlaceholderText"/>
          <w:rFonts w:ascii="Arial" w:hAnsi="Arial" w:cs="Arial"/>
          <w:color w:val="000000" w:themeColor="text1"/>
        </w:rPr>
        <w:t>ASTM</w:t>
      </w:r>
      <w:proofErr w:type="gramEnd"/>
      <w:r>
        <w:rPr>
          <w:rStyle w:val="PlaceholderText"/>
          <w:rFonts w:ascii="Arial" w:hAnsi="Arial" w:cs="Arial"/>
          <w:color w:val="000000" w:themeColor="text1"/>
        </w:rPr>
        <w:t xml:space="preserve"> or other standard method.</w:t>
      </w:r>
    </w:p>
    <w:p w14:paraId="58F651AD" w14:textId="77777777" w:rsidR="00B46C89" w:rsidRDefault="00B46C89" w:rsidP="00B46C89">
      <w:pPr>
        <w:jc w:val="both"/>
        <w:rPr>
          <w:rStyle w:val="PlaceholderText"/>
          <w:rFonts w:ascii="Arial" w:hAnsi="Arial" w:cs="Arial"/>
          <w:color w:val="000000" w:themeColor="text1"/>
        </w:rPr>
      </w:pPr>
    </w:p>
    <w:p w14:paraId="43A18E1A" w14:textId="3B8E30E3"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With respect to (ii), to include:</w:t>
      </w:r>
    </w:p>
    <w:p w14:paraId="27D55A62"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A summary of the history of the correlation</w:t>
      </w:r>
    </w:p>
    <w:p w14:paraId="3EF91A66"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The fuels used to develop the correlation (number / type)</w:t>
      </w:r>
    </w:p>
    <w:p w14:paraId="757688C1" w14:textId="77777777" w:rsidR="00B46C89" w:rsidRDefault="00B46C89" w:rsidP="00B46C89">
      <w:pPr>
        <w:jc w:val="both"/>
        <w:rPr>
          <w:rStyle w:val="PlaceholderText"/>
          <w:rFonts w:ascii="Arial" w:hAnsi="Arial" w:cs="Arial"/>
          <w:color w:val="000000" w:themeColor="text1"/>
        </w:rPr>
      </w:pPr>
      <w:r>
        <w:rPr>
          <w:rStyle w:val="PlaceholderText"/>
          <w:rFonts w:ascii="Arial" w:hAnsi="Arial" w:cs="Arial"/>
          <w:color w:val="000000" w:themeColor="text1"/>
        </w:rPr>
        <w:t>•</w:t>
      </w:r>
      <w:r>
        <w:rPr>
          <w:rStyle w:val="PlaceholderText"/>
          <w:rFonts w:ascii="Arial" w:hAnsi="Arial" w:cs="Arial"/>
          <w:color w:val="000000" w:themeColor="text1"/>
        </w:rPr>
        <w:tab/>
        <w:t>Precision</w:t>
      </w:r>
    </w:p>
    <w:p w14:paraId="5F693BD0" w14:textId="77777777" w:rsidR="00B46C89" w:rsidRDefault="00B46C89" w:rsidP="00B46C89">
      <w:pPr>
        <w:jc w:val="both"/>
      </w:pPr>
      <w:r>
        <w:rPr>
          <w:rStyle w:val="PlaceholderText"/>
          <w:rFonts w:ascii="Arial" w:hAnsi="Arial" w:cs="Arial"/>
          <w:color w:val="000000" w:themeColor="text1"/>
        </w:rPr>
        <w:t>•</w:t>
      </w:r>
      <w:r>
        <w:rPr>
          <w:rStyle w:val="PlaceholderText"/>
          <w:rFonts w:ascii="Arial" w:hAnsi="Arial" w:cs="Arial"/>
          <w:color w:val="000000" w:themeColor="text1"/>
        </w:rPr>
        <w:tab/>
        <w:t xml:space="preserve">Qualification to known IP, </w:t>
      </w:r>
      <w:proofErr w:type="gramStart"/>
      <w:r>
        <w:rPr>
          <w:rStyle w:val="PlaceholderText"/>
          <w:rFonts w:ascii="Arial" w:hAnsi="Arial" w:cs="Arial"/>
          <w:color w:val="000000" w:themeColor="text1"/>
        </w:rPr>
        <w:t>ASTM</w:t>
      </w:r>
      <w:proofErr w:type="gramEnd"/>
      <w:r>
        <w:rPr>
          <w:rStyle w:val="PlaceholderText"/>
          <w:rFonts w:ascii="Arial" w:hAnsi="Arial" w:cs="Arial"/>
          <w:color w:val="000000" w:themeColor="text1"/>
        </w:rPr>
        <w:t xml:space="preserve"> or other standard method</w:t>
      </w:r>
      <w:r>
        <w:rPr>
          <w:rStyle w:val="PlaceholderText"/>
          <w:rFonts w:ascii="Arial" w:hAnsi="Arial" w:cs="Arial"/>
          <w:i/>
          <w:iCs/>
          <w:color w:val="000000" w:themeColor="text1"/>
        </w:rPr>
        <w:t>.</w:t>
      </w:r>
    </w:p>
    <w:p w14:paraId="5B9A3B32" w14:textId="77777777" w:rsidR="00B46C89" w:rsidRDefault="00B46C89" w:rsidP="00B46C89">
      <w:pPr>
        <w:jc w:val="both"/>
        <w:rPr>
          <w:rFonts w:ascii="Arial" w:hAnsi="Arial" w:cs="Arial"/>
          <w:color w:val="000000" w:themeColor="text1"/>
        </w:rPr>
      </w:pPr>
    </w:p>
    <w:p w14:paraId="63288363" w14:textId="7CA8322F" w:rsidR="00B46C89" w:rsidRDefault="00B46C89" w:rsidP="00B46C89">
      <w:pPr>
        <w:jc w:val="both"/>
        <w:rPr>
          <w:rFonts w:ascii="Arial" w:hAnsi="Arial" w:cs="Arial"/>
          <w:b/>
          <w:bCs/>
        </w:rPr>
      </w:pPr>
      <w:r>
        <w:rPr>
          <w:rFonts w:ascii="Arial" w:hAnsi="Arial" w:cs="Arial"/>
          <w:color w:val="000000" w:themeColor="text1"/>
        </w:rPr>
        <w:t>The source of the data in the final report to be formally recorded in a Reference section to allow manufacturers / documents to be traced for further evaluation if necessary.  Given the challenge of obtaining accurate experimental measurements of calorific value, the identification of modern, automated units within the study is an important requirement.</w:t>
      </w:r>
    </w:p>
    <w:p w14:paraId="45F739B9" w14:textId="77777777" w:rsidR="00B46C89" w:rsidRDefault="00B46C89" w:rsidP="00B46C89">
      <w:pPr>
        <w:jc w:val="both"/>
        <w:rPr>
          <w:rFonts w:ascii="Arial" w:hAnsi="Arial" w:cs="Arial"/>
          <w:b/>
          <w:bCs/>
        </w:rPr>
      </w:pPr>
    </w:p>
    <w:p w14:paraId="24454B3A" w14:textId="46DDCC66" w:rsidR="00B46C89" w:rsidRDefault="00B46C89" w:rsidP="00B46C89">
      <w:pPr>
        <w:jc w:val="both"/>
        <w:rPr>
          <w:rFonts w:ascii="Arial" w:hAnsi="Arial" w:cs="Arial"/>
          <w:b/>
          <w:bCs/>
          <w:sz w:val="22"/>
          <w:szCs w:val="22"/>
        </w:rPr>
      </w:pPr>
      <w:r>
        <w:rPr>
          <w:rFonts w:ascii="Arial" w:hAnsi="Arial" w:cs="Arial"/>
          <w:b/>
          <w:bCs/>
        </w:rPr>
        <w:t>Schedule</w:t>
      </w:r>
    </w:p>
    <w:p w14:paraId="1163B6E1" w14:textId="77777777" w:rsidR="00B46C89" w:rsidRDefault="00B46C89" w:rsidP="00B46C89">
      <w:pPr>
        <w:jc w:val="both"/>
        <w:rPr>
          <w:rFonts w:ascii="Arial" w:hAnsi="Arial" w:cs="Arial"/>
        </w:rPr>
      </w:pPr>
      <w:r>
        <w:rPr>
          <w:rFonts w:ascii="Arial" w:hAnsi="Arial" w:cs="Arial"/>
        </w:rPr>
        <w:t>6 months</w:t>
      </w:r>
    </w:p>
    <w:p w14:paraId="7B447537" w14:textId="77777777" w:rsidR="00B46C89" w:rsidRDefault="00B46C89" w:rsidP="00B46C89">
      <w:pPr>
        <w:jc w:val="both"/>
        <w:rPr>
          <w:rFonts w:ascii="Arial" w:hAnsi="Arial" w:cs="Arial"/>
          <w:b/>
          <w:bCs/>
        </w:rPr>
      </w:pPr>
    </w:p>
    <w:p w14:paraId="396BA22A" w14:textId="386E51CA" w:rsidR="00B46C89" w:rsidRDefault="00B46C89" w:rsidP="00B46C89">
      <w:pPr>
        <w:jc w:val="both"/>
        <w:rPr>
          <w:rFonts w:ascii="Arial" w:hAnsi="Arial" w:cs="Arial"/>
          <w:b/>
          <w:bCs/>
          <w:sz w:val="22"/>
          <w:szCs w:val="22"/>
        </w:rPr>
      </w:pPr>
      <w:r>
        <w:rPr>
          <w:rFonts w:ascii="Arial" w:hAnsi="Arial" w:cs="Arial"/>
          <w:b/>
          <w:bCs/>
        </w:rPr>
        <w:t>Deliverables</w:t>
      </w:r>
    </w:p>
    <w:p w14:paraId="71390996" w14:textId="77777777" w:rsidR="00B46C89" w:rsidRDefault="00B46C89" w:rsidP="00B46C89">
      <w:pPr>
        <w:jc w:val="both"/>
        <w:rPr>
          <w:rFonts w:ascii="Arial" w:hAnsi="Arial" w:cs="Arial"/>
          <w:color w:val="000000" w:themeColor="text1"/>
        </w:rPr>
      </w:pPr>
      <w:r>
        <w:rPr>
          <w:rStyle w:val="PlaceholderText"/>
          <w:rFonts w:ascii="Arial" w:hAnsi="Arial" w:cs="Arial"/>
          <w:color w:val="000000" w:themeColor="text1"/>
        </w:rPr>
        <w:t>A report reviewing current methods for the determination of the calorific energy content of liquid fuels.</w:t>
      </w:r>
    </w:p>
    <w:p w14:paraId="3742BE45" w14:textId="77777777" w:rsidR="00B46C89" w:rsidRDefault="00B46C89" w:rsidP="00B46C89">
      <w:pPr>
        <w:jc w:val="both"/>
        <w:rPr>
          <w:rFonts w:ascii="Arial" w:hAnsi="Arial" w:cs="Arial"/>
          <w:b/>
          <w:bCs/>
        </w:rPr>
      </w:pPr>
    </w:p>
    <w:p w14:paraId="3431A1A6" w14:textId="0C51C016" w:rsidR="00B46C89" w:rsidRDefault="00B46C89" w:rsidP="00B46C89">
      <w:pPr>
        <w:jc w:val="both"/>
        <w:rPr>
          <w:rFonts w:ascii="Arial" w:hAnsi="Arial" w:cs="Arial"/>
          <w:b/>
          <w:bCs/>
          <w:sz w:val="22"/>
          <w:szCs w:val="22"/>
        </w:rPr>
      </w:pPr>
      <w:r>
        <w:rPr>
          <w:rFonts w:ascii="Arial" w:hAnsi="Arial" w:cs="Arial"/>
          <w:b/>
          <w:bCs/>
        </w:rPr>
        <w:t>References</w:t>
      </w:r>
    </w:p>
    <w:p w14:paraId="6F133558" w14:textId="77777777" w:rsidR="00B46C89" w:rsidRDefault="00B46C89" w:rsidP="00B46C89">
      <w:pPr>
        <w:jc w:val="both"/>
        <w:rPr>
          <w:rFonts w:ascii="Arial" w:hAnsi="Arial" w:cs="Arial"/>
          <w:color w:val="000000" w:themeColor="text1"/>
        </w:rPr>
      </w:pPr>
      <w:r>
        <w:rPr>
          <w:rFonts w:ascii="Arial" w:hAnsi="Arial" w:cs="Arial"/>
          <w:color w:val="000000" w:themeColor="text1"/>
        </w:rPr>
        <w:t>[1] Available from: ASTM International, 100 Barr Harbor Drive, PO Box C700, West Conshohocken, PA 19428-2959. United States.</w:t>
      </w:r>
    </w:p>
    <w:p w14:paraId="4EF25B37" w14:textId="77777777" w:rsidR="00B46C89" w:rsidRDefault="00B46C89" w:rsidP="00B46C89">
      <w:pPr>
        <w:jc w:val="both"/>
        <w:rPr>
          <w:rFonts w:ascii="Arial" w:hAnsi="Arial" w:cs="Arial"/>
          <w:color w:val="000000" w:themeColor="text1"/>
        </w:rPr>
      </w:pPr>
      <w:r>
        <w:rPr>
          <w:rFonts w:ascii="Arial" w:hAnsi="Arial" w:cs="Arial"/>
          <w:color w:val="000000" w:themeColor="text1"/>
        </w:rPr>
        <w:t>[2] Available from: Energy Institute, 61 New Cavendish St, Marylebone, London W1G 7AR</w:t>
      </w:r>
    </w:p>
    <w:p w14:paraId="5BEB7D98" w14:textId="77777777" w:rsidR="00C612A1" w:rsidRDefault="00C612A1" w:rsidP="00B46C89">
      <w:pPr>
        <w:jc w:val="both"/>
        <w:rPr>
          <w:b/>
          <w:sz w:val="24"/>
          <w:szCs w:val="24"/>
        </w:rPr>
      </w:pPr>
      <w:r>
        <w:rPr>
          <w:b/>
          <w:sz w:val="24"/>
          <w:szCs w:val="24"/>
        </w:rPr>
        <w:br w:type="page"/>
      </w:r>
    </w:p>
    <w:p w14:paraId="743E0EC7" w14:textId="77777777" w:rsidR="006307DF" w:rsidRPr="00BD59A1" w:rsidRDefault="006307DF" w:rsidP="00E114A8">
      <w:pPr>
        <w:keepNext/>
        <w:keepLines/>
        <w:numPr>
          <w:ilvl w:val="12"/>
          <w:numId w:val="0"/>
        </w:numPr>
        <w:jc w:val="center"/>
        <w:outlineLvl w:val="0"/>
        <w:rPr>
          <w:b/>
          <w:sz w:val="24"/>
          <w:szCs w:val="24"/>
        </w:rPr>
      </w:pPr>
      <w:r w:rsidRPr="00BD59A1">
        <w:rPr>
          <w:b/>
          <w:sz w:val="24"/>
          <w:szCs w:val="24"/>
        </w:rPr>
        <w:lastRenderedPageBreak/>
        <w:t>EXHIBIT B</w:t>
      </w:r>
    </w:p>
    <w:p w14:paraId="0BC9CAFA" w14:textId="77777777" w:rsidR="006307DF" w:rsidRDefault="006307DF" w:rsidP="004B3F5D">
      <w:pPr>
        <w:numPr>
          <w:ilvl w:val="12"/>
          <w:numId w:val="0"/>
        </w:numPr>
        <w:jc w:val="center"/>
        <w:rPr>
          <w:b/>
          <w:sz w:val="24"/>
        </w:rPr>
      </w:pPr>
    </w:p>
    <w:p w14:paraId="577C94D6" w14:textId="77777777" w:rsidR="006307DF" w:rsidRDefault="006307DF" w:rsidP="004B3F5D">
      <w:pPr>
        <w:numPr>
          <w:ilvl w:val="12"/>
          <w:numId w:val="0"/>
        </w:numPr>
        <w:jc w:val="center"/>
        <w:rPr>
          <w:b/>
          <w:sz w:val="24"/>
        </w:rPr>
      </w:pPr>
      <w:r>
        <w:rPr>
          <w:b/>
          <w:sz w:val="24"/>
        </w:rPr>
        <w:t>REPORTS</w:t>
      </w:r>
    </w:p>
    <w:p w14:paraId="6166C289" w14:textId="77777777" w:rsidR="006307DF" w:rsidRDefault="006307DF" w:rsidP="004B3F5D">
      <w:pPr>
        <w:numPr>
          <w:ilvl w:val="12"/>
          <w:numId w:val="0"/>
        </w:numPr>
        <w:jc w:val="both"/>
        <w:rPr>
          <w:b/>
          <w:sz w:val="24"/>
        </w:rPr>
      </w:pPr>
    </w:p>
    <w:p w14:paraId="3E41F815" w14:textId="77777777" w:rsidR="006307DF" w:rsidRDefault="006307DF" w:rsidP="004B3F5D">
      <w:pPr>
        <w:numPr>
          <w:ilvl w:val="12"/>
          <w:numId w:val="0"/>
        </w:numPr>
        <w:jc w:val="both"/>
        <w:rPr>
          <w:b/>
          <w:sz w:val="24"/>
        </w:rPr>
      </w:pPr>
      <w:r>
        <w:rPr>
          <w:b/>
          <w:sz w:val="24"/>
        </w:rPr>
        <w:t>MONTHLY TECHNICAL PROGRESS REPORTS</w:t>
      </w:r>
    </w:p>
    <w:p w14:paraId="03D71034" w14:textId="77777777" w:rsidR="006307DF" w:rsidRDefault="006307DF" w:rsidP="004B3F5D">
      <w:pPr>
        <w:numPr>
          <w:ilvl w:val="12"/>
          <w:numId w:val="0"/>
        </w:numPr>
        <w:jc w:val="both"/>
        <w:rPr>
          <w:sz w:val="24"/>
        </w:rPr>
      </w:pPr>
    </w:p>
    <w:p w14:paraId="6C9554CF" w14:textId="77777777" w:rsidR="006307DF" w:rsidRDefault="006307DF" w:rsidP="00092EAC">
      <w:pPr>
        <w:numPr>
          <w:ilvl w:val="12"/>
          <w:numId w:val="0"/>
        </w:numPr>
        <w:jc w:val="both"/>
        <w:rPr>
          <w:sz w:val="24"/>
        </w:rPr>
      </w:pPr>
      <w:r>
        <w:rPr>
          <w:sz w:val="24"/>
        </w:rPr>
        <w:t xml:space="preserve">The contractor shall submit a monthly technical progress report covering work accomplished during each calendar month of the contract performance.  </w:t>
      </w:r>
      <w:r w:rsidR="00FE6D00">
        <w:rPr>
          <w:sz w:val="24"/>
        </w:rPr>
        <w:t>An</w:t>
      </w:r>
      <w:r>
        <w:rPr>
          <w:sz w:val="24"/>
        </w:rPr>
        <w:t xml:space="preserve"> electronic </w:t>
      </w:r>
      <w:bookmarkStart w:id="0" w:name="_Hlk948886"/>
      <w:r>
        <w:rPr>
          <w:sz w:val="24"/>
        </w:rPr>
        <w:t>Microsoft</w:t>
      </w:r>
      <w:r w:rsidR="0059453C">
        <w:rPr>
          <w:sz w:val="24"/>
        </w:rPr>
        <w:t>®</w:t>
      </w:r>
      <w:r>
        <w:rPr>
          <w:sz w:val="24"/>
        </w:rPr>
        <w:t xml:space="preserve"> Word </w:t>
      </w:r>
      <w:bookmarkEnd w:id="0"/>
      <w:r>
        <w:rPr>
          <w:sz w:val="24"/>
        </w:rPr>
        <w:t>compatible file (&lt;1 MB) of the monthly technical progress report shall be distributed by the contractor within ten (10) calendar days after the end of each reporting period.  The report shall contain a description of overall progress, plus a separate description for each task or other logical segment of work on which effort was expended during the reporting period.</w:t>
      </w:r>
      <w:r w:rsidR="00CF6B52" w:rsidRPr="00CF6B52">
        <w:rPr>
          <w:sz w:val="24"/>
        </w:rPr>
        <w:t xml:space="preserve">  Periodic conference calls may also be requested by CRC to update the technical committee overseeing the project.  </w:t>
      </w:r>
    </w:p>
    <w:p w14:paraId="37E372B3" w14:textId="77777777" w:rsidR="006307DF" w:rsidRDefault="006307DF" w:rsidP="004B3F5D">
      <w:pPr>
        <w:numPr>
          <w:ilvl w:val="12"/>
          <w:numId w:val="0"/>
        </w:numPr>
        <w:jc w:val="both"/>
        <w:rPr>
          <w:sz w:val="24"/>
        </w:rPr>
      </w:pPr>
    </w:p>
    <w:p w14:paraId="2BB40D47" w14:textId="77777777" w:rsidR="006307DF" w:rsidRDefault="006307DF" w:rsidP="004B3F5D">
      <w:pPr>
        <w:numPr>
          <w:ilvl w:val="12"/>
          <w:numId w:val="0"/>
        </w:numPr>
        <w:jc w:val="both"/>
        <w:rPr>
          <w:sz w:val="24"/>
        </w:rPr>
      </w:pPr>
      <w:r>
        <w:rPr>
          <w:b/>
          <w:sz w:val="24"/>
        </w:rPr>
        <w:t>FINAL REPORT</w:t>
      </w:r>
    </w:p>
    <w:p w14:paraId="356E24E0" w14:textId="77777777" w:rsidR="00CF6B52" w:rsidRDefault="00CF6B52" w:rsidP="00CF6B52">
      <w:pPr>
        <w:numPr>
          <w:ilvl w:val="12"/>
          <w:numId w:val="0"/>
        </w:numPr>
        <w:jc w:val="both"/>
        <w:rPr>
          <w:sz w:val="24"/>
        </w:rPr>
      </w:pPr>
      <w:r>
        <w:rPr>
          <w:sz w:val="24"/>
        </w:rPr>
        <w:t>The contractor</w:t>
      </w:r>
      <w:r w:rsidRPr="00CF6B52">
        <w:rPr>
          <w:sz w:val="24"/>
        </w:rPr>
        <w:t xml:space="preserve"> shall submit to </w:t>
      </w:r>
      <w:r>
        <w:rPr>
          <w:sz w:val="24"/>
        </w:rPr>
        <w:t xml:space="preserve">CRC </w:t>
      </w:r>
      <w:r w:rsidRPr="00CF6B52">
        <w:rPr>
          <w:sz w:val="24"/>
        </w:rPr>
        <w:t>a draft final report. The report shall document the test procedure, document details of each test iteration, and explain any observations noted.  The test data will be recorded and reviewed, and the final report will include a certification that the test procedures were followed, noting any exceptions.   The detailed data will also be supplied electronically to CRC.</w:t>
      </w:r>
      <w:r w:rsidRPr="00CF6B52">
        <w:rPr>
          <w:sz w:val="24"/>
        </w:rPr>
        <w:tab/>
      </w:r>
    </w:p>
    <w:p w14:paraId="5D89752C" w14:textId="77777777" w:rsidR="00CF6B52" w:rsidRPr="00CF6B52" w:rsidRDefault="00CF6B52" w:rsidP="00CF6B52">
      <w:pPr>
        <w:numPr>
          <w:ilvl w:val="12"/>
          <w:numId w:val="0"/>
        </w:numPr>
        <w:jc w:val="both"/>
        <w:rPr>
          <w:sz w:val="24"/>
        </w:rPr>
      </w:pPr>
    </w:p>
    <w:p w14:paraId="7D6103FB" w14:textId="77777777" w:rsidR="00CF6B52" w:rsidRDefault="00CF6B52" w:rsidP="00CF6B52">
      <w:pPr>
        <w:numPr>
          <w:ilvl w:val="12"/>
          <w:numId w:val="0"/>
        </w:numPr>
        <w:jc w:val="both"/>
        <w:rPr>
          <w:sz w:val="24"/>
        </w:rPr>
      </w:pPr>
      <w:r w:rsidRPr="00CF6B52">
        <w:rPr>
          <w:sz w:val="24"/>
        </w:rPr>
        <w:t xml:space="preserve">The draft report must have appropriate editorial review corrections made by the contractor prior to submission to CRC to avoid obvious formatting, grammar, and spelling errors.  The report should be written in a formal technical style employing a format that best communicates the work conducted, results observed, and conclusions derived.  Standard practice typically calls for a CRC Title Page, Disclaimer Statement, Foreword/Preface, Table of Contents, List of Figures, List of Tables, List of Acronyms and Abbreviations, Executive Summary, Background, Approach (including a full description of all experimental materials and methods), Results, Conclusions, List of References, and Appendices as appropriate for the scope of the study.  Incomplete draft reports or reports of poor quality requiring additional outside editorial review may have outside editorial services charged back to the project budget.  </w:t>
      </w:r>
    </w:p>
    <w:p w14:paraId="0DE29CB6" w14:textId="77777777" w:rsidR="00CF6B52" w:rsidRDefault="00CF6B52" w:rsidP="00CF6B52">
      <w:pPr>
        <w:numPr>
          <w:ilvl w:val="12"/>
          <w:numId w:val="0"/>
        </w:numPr>
        <w:jc w:val="both"/>
        <w:rPr>
          <w:sz w:val="24"/>
        </w:rPr>
      </w:pPr>
    </w:p>
    <w:p w14:paraId="49A2B494" w14:textId="77777777" w:rsidR="00CF6B52" w:rsidRDefault="00CF6B52" w:rsidP="00CF6B52">
      <w:pPr>
        <w:numPr>
          <w:ilvl w:val="12"/>
          <w:numId w:val="0"/>
        </w:numPr>
        <w:jc w:val="both"/>
        <w:rPr>
          <w:sz w:val="24"/>
        </w:rPr>
      </w:pPr>
      <w:r w:rsidRPr="00CF6B52">
        <w:rPr>
          <w:sz w:val="24"/>
        </w:rPr>
        <w:t xml:space="preserve">Comments regarding the report shall be furnished by the CRC committee to </w:t>
      </w:r>
      <w:r>
        <w:rPr>
          <w:sz w:val="24"/>
        </w:rPr>
        <w:t>the contractor</w:t>
      </w:r>
      <w:r w:rsidRPr="00CF6B52">
        <w:rPr>
          <w:sz w:val="24"/>
        </w:rPr>
        <w:t xml:space="preserve"> within one (1) month after receipt of the draft copy. </w:t>
      </w:r>
      <w:r w:rsidR="002E4D45">
        <w:rPr>
          <w:sz w:val="24"/>
        </w:rPr>
        <w:t xml:space="preserve">Additional rounds of review may be required. </w:t>
      </w:r>
    </w:p>
    <w:p w14:paraId="01F67008" w14:textId="77777777" w:rsidR="00CF6B52" w:rsidRPr="00CF6B52" w:rsidRDefault="00CF6B52" w:rsidP="00CF6B52">
      <w:pPr>
        <w:numPr>
          <w:ilvl w:val="12"/>
          <w:numId w:val="0"/>
        </w:numPr>
        <w:jc w:val="both"/>
        <w:rPr>
          <w:sz w:val="24"/>
        </w:rPr>
      </w:pPr>
    </w:p>
    <w:p w14:paraId="66348359" w14:textId="77777777" w:rsidR="006307DF" w:rsidRDefault="006307DF" w:rsidP="004B3F5D">
      <w:pPr>
        <w:numPr>
          <w:ilvl w:val="12"/>
          <w:numId w:val="0"/>
        </w:numPr>
        <w:jc w:val="both"/>
        <w:rPr>
          <w:sz w:val="24"/>
        </w:rPr>
      </w:pPr>
      <w:r>
        <w:rPr>
          <w:sz w:val="24"/>
        </w:rPr>
        <w:t>Within thirty (30) days after receipt of</w:t>
      </w:r>
      <w:r w:rsidR="00A32D84">
        <w:rPr>
          <w:sz w:val="24"/>
        </w:rPr>
        <w:t xml:space="preserve"> comments, </w:t>
      </w:r>
      <w:r>
        <w:rPr>
          <w:sz w:val="24"/>
        </w:rPr>
        <w:t xml:space="preserve">the contractor shall make the requested changes </w:t>
      </w:r>
      <w:r w:rsidR="00A32D84">
        <w:rPr>
          <w:sz w:val="24"/>
        </w:rPr>
        <w:t xml:space="preserve">and </w:t>
      </w:r>
      <w:r>
        <w:rPr>
          <w:sz w:val="24"/>
        </w:rPr>
        <w:t xml:space="preserve">submit an electronic copy </w:t>
      </w:r>
      <w:r w:rsidR="00A32D84">
        <w:rPr>
          <w:sz w:val="24"/>
        </w:rPr>
        <w:t xml:space="preserve">of the draft final report </w:t>
      </w:r>
      <w:r>
        <w:rPr>
          <w:sz w:val="24"/>
        </w:rPr>
        <w:t xml:space="preserve">in </w:t>
      </w:r>
      <w:r w:rsidR="00CF6B52">
        <w:rPr>
          <w:sz w:val="24"/>
        </w:rPr>
        <w:t xml:space="preserve">both </w:t>
      </w:r>
      <w:r w:rsidR="002E4D45">
        <w:rPr>
          <w:sz w:val="24"/>
        </w:rPr>
        <w:t xml:space="preserve">Microsoft Word </w:t>
      </w:r>
      <w:r w:rsidR="00CF6B52">
        <w:rPr>
          <w:sz w:val="24"/>
        </w:rPr>
        <w:t>and Adobe</w:t>
      </w:r>
      <w:r>
        <w:rPr>
          <w:sz w:val="24"/>
        </w:rPr>
        <w:t xml:space="preserve"> pdf file format.</w:t>
      </w:r>
      <w:r w:rsidR="006365FB">
        <w:rPr>
          <w:sz w:val="24"/>
        </w:rPr>
        <w:t xml:space="preserve"> </w:t>
      </w:r>
      <w:r w:rsidR="00A32D84">
        <w:rPr>
          <w:sz w:val="24"/>
        </w:rPr>
        <w:t xml:space="preserve">Once accepted, the contractor shall deliver five (5) hard copies of the final report to CRC.  </w:t>
      </w:r>
      <w:r w:rsidR="006365FB">
        <w:rPr>
          <w:sz w:val="24"/>
        </w:rPr>
        <w:t>The final report may be prepared using the contractor’s standard format, acknowledging author and sponsors.</w:t>
      </w:r>
      <w:r>
        <w:rPr>
          <w:sz w:val="24"/>
        </w:rPr>
        <w:t xml:space="preserve"> </w:t>
      </w:r>
      <w:r w:rsidR="006365FB">
        <w:rPr>
          <w:sz w:val="24"/>
        </w:rPr>
        <w:t xml:space="preserve">An outside CRC cover page will be provided by CRC. </w:t>
      </w:r>
      <w:r>
        <w:rPr>
          <w:sz w:val="24"/>
        </w:rPr>
        <w:t xml:space="preserve"> The electronic copy will be made available for posting on the CRC website.</w:t>
      </w:r>
    </w:p>
    <w:p w14:paraId="079FE021" w14:textId="77777777" w:rsidR="006307DF" w:rsidRPr="0030688E" w:rsidRDefault="006307DF" w:rsidP="00E114A8">
      <w:pPr>
        <w:numPr>
          <w:ilvl w:val="12"/>
          <w:numId w:val="0"/>
        </w:numPr>
        <w:jc w:val="center"/>
        <w:rPr>
          <w:b/>
          <w:sz w:val="24"/>
          <w:szCs w:val="24"/>
        </w:rPr>
      </w:pPr>
      <w:r>
        <w:rPr>
          <w:sz w:val="24"/>
        </w:rPr>
        <w:br w:type="page"/>
      </w:r>
      <w:r w:rsidRPr="0030688E">
        <w:rPr>
          <w:b/>
          <w:sz w:val="24"/>
          <w:szCs w:val="24"/>
        </w:rPr>
        <w:lastRenderedPageBreak/>
        <w:t>EXHIBIT C</w:t>
      </w:r>
    </w:p>
    <w:p w14:paraId="1B660099" w14:textId="77777777" w:rsidR="006307DF" w:rsidRDefault="006307DF" w:rsidP="004B3F5D">
      <w:pPr>
        <w:numPr>
          <w:ilvl w:val="12"/>
          <w:numId w:val="0"/>
        </w:numPr>
        <w:jc w:val="both"/>
        <w:rPr>
          <w:b/>
          <w:sz w:val="24"/>
        </w:rPr>
      </w:pPr>
    </w:p>
    <w:p w14:paraId="3331A04F" w14:textId="77777777" w:rsidR="006307DF" w:rsidRDefault="006307DF" w:rsidP="004B3F5D">
      <w:pPr>
        <w:numPr>
          <w:ilvl w:val="12"/>
          <w:numId w:val="0"/>
        </w:numPr>
        <w:jc w:val="center"/>
        <w:rPr>
          <w:b/>
          <w:sz w:val="24"/>
        </w:rPr>
      </w:pPr>
      <w:r>
        <w:rPr>
          <w:b/>
          <w:sz w:val="24"/>
        </w:rPr>
        <w:t>INTELLECTUAL PROPERTY RIGHTS</w:t>
      </w:r>
    </w:p>
    <w:p w14:paraId="11DFCF6B" w14:textId="77777777" w:rsidR="006307DF" w:rsidRDefault="006307DF" w:rsidP="004B3F5D">
      <w:pPr>
        <w:numPr>
          <w:ilvl w:val="12"/>
          <w:numId w:val="0"/>
        </w:numPr>
        <w:jc w:val="both"/>
        <w:rPr>
          <w:b/>
          <w:sz w:val="24"/>
        </w:rPr>
      </w:pPr>
    </w:p>
    <w:p w14:paraId="5224F1BE" w14:textId="77777777" w:rsidR="006307DF" w:rsidRDefault="006307DF" w:rsidP="004B3F5D">
      <w:pPr>
        <w:numPr>
          <w:ilvl w:val="12"/>
          <w:numId w:val="0"/>
        </w:numPr>
        <w:jc w:val="both"/>
        <w:rPr>
          <w:b/>
          <w:sz w:val="24"/>
        </w:rPr>
      </w:pPr>
    </w:p>
    <w:p w14:paraId="6E5AF6DD" w14:textId="77777777" w:rsidR="006307DF" w:rsidRDefault="006307DF" w:rsidP="004B3F5D">
      <w:pPr>
        <w:jc w:val="both"/>
      </w:pPr>
      <w:r>
        <w:rPr>
          <w:sz w:val="24"/>
        </w:rPr>
        <w:t>Title to all inventions, improvements, and data, hereinafter, collectively referred to as (“Inventions”), whether or not patentable, resulting from the performance of work under this Agreement shall be assigned to CRC.  Contractor X shall promptly disclose to CRC any Invention which is made or conceived by Contractor X, its employees, agents, or representatives, either alone or jointly with others, during the term of this agreement, which result from the performance of work under this agreement, or are a result of confidential information provided to Contractor X by CRC or its Participants.  Contractor X agrees to assign to CRC the entire right, title, and interest in and to any and all such Inventions, and to execute and cause its employees or representatives to execute such documents as may be required to file applications and to obtain patents covering such Inventions in CRC’s name or in the name of CRC’s Participants or nominees.  At CRC’s expense, Contractor X shall provide reasonable assistance to CRC or its designee in obtaining patents on such Inventions</w:t>
      </w:r>
      <w:r>
        <w:t xml:space="preserve">. </w:t>
      </w:r>
    </w:p>
    <w:p w14:paraId="32BD6B41" w14:textId="77777777" w:rsidR="00DB5E05" w:rsidRPr="00BF607E" w:rsidRDefault="00DB5E05" w:rsidP="004B3F5D">
      <w:pPr>
        <w:jc w:val="both"/>
        <w:rPr>
          <w:sz w:val="24"/>
          <w:szCs w:val="24"/>
        </w:rPr>
      </w:pPr>
    </w:p>
    <w:p w14:paraId="27C876E7" w14:textId="77777777" w:rsidR="006307DF" w:rsidRPr="00BF607E" w:rsidRDefault="00DB5E05" w:rsidP="004B3F5D">
      <w:pPr>
        <w:jc w:val="both"/>
        <w:rPr>
          <w:sz w:val="24"/>
          <w:szCs w:val="24"/>
        </w:rPr>
      </w:pPr>
      <w:r w:rsidRPr="00BF607E">
        <w:rPr>
          <w:sz w:val="24"/>
          <w:szCs w:val="24"/>
        </w:rPr>
        <w:t>To the extent that a CRC member makes available any of its intellectual property (including but not limited to patents, patent applications, copyrighted material, trade secrets, or trademarks) to Contractor X, Contractor X shall have only a limited license to such intellectual property for the sole purpose of performing work pursuant to this Agreement and shall have no other right or license, express or implied, or by estoppel.  To the extent a CRC member contributes materials, tangible items, or information for use in the project, Contractor X acknowledges that it obtains only the right to use the materials, items, or information supplied for the purposes of performing the work provided for in this Agreement, and obtains no rights to copy, distribute, disclose, make, use, sell or offer to sell such materials or items outside of th</w:t>
      </w:r>
      <w:r w:rsidR="00E23714">
        <w:rPr>
          <w:sz w:val="24"/>
          <w:szCs w:val="24"/>
        </w:rPr>
        <w:t>e performance of this Agreement.</w:t>
      </w:r>
      <w:r w:rsidR="00E23714" w:rsidRPr="00BF607E">
        <w:rPr>
          <w:sz w:val="24"/>
          <w:szCs w:val="24"/>
        </w:rPr>
        <w:t xml:space="preserve"> </w:t>
      </w:r>
      <w:r w:rsidR="006307DF" w:rsidRPr="00BF607E">
        <w:rPr>
          <w:sz w:val="24"/>
          <w:szCs w:val="24"/>
        </w:rPr>
        <w:br w:type="page"/>
      </w:r>
    </w:p>
    <w:p w14:paraId="50865109" w14:textId="77777777" w:rsidR="006307DF" w:rsidRDefault="006307DF" w:rsidP="00E114A8">
      <w:pPr>
        <w:pStyle w:val="Heading1"/>
        <w:keepNext/>
        <w:keepLines/>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jc w:val="center"/>
        <w:rPr>
          <w:rFonts w:ascii="Times New Roman" w:hAnsi="Times New Roman"/>
          <w:sz w:val="24"/>
        </w:rPr>
      </w:pPr>
      <w:r>
        <w:rPr>
          <w:rFonts w:ascii="Times New Roman" w:hAnsi="Times New Roman"/>
          <w:sz w:val="24"/>
        </w:rPr>
        <w:lastRenderedPageBreak/>
        <w:t>EXHIBIT D</w:t>
      </w:r>
    </w:p>
    <w:p w14:paraId="4BDFAD4C" w14:textId="77777777" w:rsidR="008F697C" w:rsidRDefault="008F697C" w:rsidP="008F697C"/>
    <w:p w14:paraId="5F080D15" w14:textId="77777777" w:rsidR="002E67CC" w:rsidRPr="002E67CC" w:rsidRDefault="002E67CC" w:rsidP="002E67CC">
      <w:pPr>
        <w:pStyle w:val="Heading1"/>
        <w:keepLines/>
        <w:numPr>
          <w:ilvl w:val="12"/>
          <w:numId w:val="0"/>
        </w:numPr>
        <w:tabs>
          <w:tab w:val="left" w:pos="0"/>
        </w:tabs>
        <w:jc w:val="center"/>
        <w:rPr>
          <w:rFonts w:ascii="Times New Roman" w:hAnsi="Times New Roman"/>
          <w:sz w:val="24"/>
          <w:szCs w:val="24"/>
        </w:rPr>
      </w:pPr>
      <w:r w:rsidRPr="002E67CC">
        <w:rPr>
          <w:rFonts w:ascii="Times New Roman" w:hAnsi="Times New Roman"/>
          <w:sz w:val="24"/>
          <w:szCs w:val="24"/>
        </w:rPr>
        <w:t>LIABILITY</w:t>
      </w:r>
    </w:p>
    <w:p w14:paraId="52EABB9D" w14:textId="77777777" w:rsidR="002E67CC" w:rsidRPr="002E67CC" w:rsidRDefault="002E67CC" w:rsidP="002E67CC">
      <w:pPr>
        <w:rPr>
          <w:sz w:val="24"/>
          <w:szCs w:val="24"/>
        </w:rPr>
      </w:pPr>
    </w:p>
    <w:p w14:paraId="122C5FD6" w14:textId="77777777" w:rsidR="002E67CC" w:rsidRPr="002E67CC" w:rsidRDefault="002E67CC" w:rsidP="002E67CC">
      <w:pPr>
        <w:pStyle w:val="Heading1"/>
        <w:keepLines/>
        <w:numPr>
          <w:ilvl w:val="12"/>
          <w:numId w:val="0"/>
        </w:numPr>
        <w:tabs>
          <w:tab w:val="left" w:pos="0"/>
        </w:tabs>
        <w:jc w:val="both"/>
        <w:rPr>
          <w:rFonts w:ascii="Times New Roman" w:hAnsi="Times New Roman"/>
          <w:b w:val="0"/>
          <w:sz w:val="24"/>
          <w:szCs w:val="24"/>
        </w:rPr>
      </w:pPr>
      <w:r w:rsidRPr="002E67CC">
        <w:rPr>
          <w:rFonts w:ascii="Times New Roman" w:hAnsi="Times New Roman"/>
          <w:b w:val="0"/>
          <w:sz w:val="24"/>
          <w:szCs w:val="24"/>
        </w:rPr>
        <w:t xml:space="preserve">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in connection therewith. </w:t>
      </w:r>
      <w:r w:rsidR="00BC03EB" w:rsidRPr="002E67CC">
        <w:rPr>
          <w:rFonts w:ascii="Times New Roman" w:hAnsi="Times New Roman"/>
          <w:b w:val="0"/>
          <w:sz w:val="24"/>
          <w:szCs w:val="24"/>
        </w:rPr>
        <w:fldChar w:fldCharType="begin"/>
      </w:r>
      <w:r w:rsidRPr="002E67CC">
        <w:rPr>
          <w:rFonts w:ascii="Times New Roman" w:hAnsi="Times New Roman"/>
          <w:b w:val="0"/>
          <w:sz w:val="24"/>
          <w:szCs w:val="24"/>
        </w:rPr>
        <w:instrText>tc "It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of Contractor in connection therewith. "</w:instrText>
      </w:r>
      <w:r w:rsidR="00BC03EB" w:rsidRPr="002E67CC">
        <w:rPr>
          <w:rFonts w:ascii="Times New Roman" w:hAnsi="Times New Roman"/>
          <w:b w:val="0"/>
          <w:sz w:val="24"/>
          <w:szCs w:val="24"/>
        </w:rPr>
        <w:fldChar w:fldCharType="end"/>
      </w:r>
    </w:p>
    <w:p w14:paraId="4B655A80" w14:textId="77777777" w:rsidR="002E67CC" w:rsidRPr="002E67CC" w:rsidRDefault="002E67CC" w:rsidP="002E67CC">
      <w:pPr>
        <w:spacing w:after="200" w:line="276" w:lineRule="auto"/>
        <w:rPr>
          <w:sz w:val="24"/>
          <w:szCs w:val="24"/>
        </w:rPr>
      </w:pPr>
    </w:p>
    <w:p w14:paraId="0A4DBE77" w14:textId="77777777" w:rsidR="002E67CC" w:rsidRDefault="002E67CC" w:rsidP="008F697C"/>
    <w:p w14:paraId="6390862A" w14:textId="77777777" w:rsidR="002E67CC" w:rsidRDefault="002E67CC" w:rsidP="008F697C"/>
    <w:p w14:paraId="3A77D62B" w14:textId="77777777" w:rsidR="002E67CC" w:rsidRDefault="002E67CC" w:rsidP="008F697C"/>
    <w:p w14:paraId="22601274" w14:textId="77777777" w:rsidR="006307DF" w:rsidRDefault="006307DF" w:rsidP="004B3F5D">
      <w:pPr>
        <w:pStyle w:val="Heading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center"/>
        <w:rPr>
          <w:rFonts w:ascii="Times New Roman" w:hAnsi="Times New Roman"/>
          <w:sz w:val="24"/>
        </w:rPr>
      </w:pPr>
      <w:r>
        <w:rPr>
          <w:rFonts w:ascii="Times New Roman" w:hAnsi="Times New Roman"/>
          <w:sz w:val="24"/>
        </w:rPr>
        <w:t>EXHIBIT E</w:t>
      </w:r>
    </w:p>
    <w:p w14:paraId="5AB0B605" w14:textId="77777777" w:rsidR="006307DF" w:rsidRDefault="006307DF" w:rsidP="004B3F5D">
      <w:pPr>
        <w:numPr>
          <w:ilvl w:val="12"/>
          <w:numId w:val="0"/>
        </w:numPr>
        <w:jc w:val="center"/>
        <w:rPr>
          <w:sz w:val="24"/>
        </w:rPr>
      </w:pPr>
    </w:p>
    <w:p w14:paraId="4843BB67" w14:textId="77777777" w:rsidR="006307DF" w:rsidRDefault="006307DF" w:rsidP="004B3F5D">
      <w:pPr>
        <w:numPr>
          <w:ilvl w:val="12"/>
          <w:numId w:val="0"/>
        </w:numPr>
        <w:jc w:val="center"/>
        <w:rPr>
          <w:b/>
          <w:sz w:val="24"/>
        </w:rPr>
      </w:pPr>
      <w:r>
        <w:rPr>
          <w:b/>
          <w:sz w:val="24"/>
        </w:rPr>
        <w:t>PROPOSAL EVALUATION CRITERIA</w:t>
      </w:r>
    </w:p>
    <w:p w14:paraId="6979333C" w14:textId="77777777" w:rsidR="006307DF" w:rsidRDefault="006307DF" w:rsidP="004B3F5D">
      <w:pPr>
        <w:rPr>
          <w:sz w:val="24"/>
        </w:rPr>
      </w:pPr>
    </w:p>
    <w:p w14:paraId="69AF7650" w14:textId="77777777" w:rsidR="006307DF" w:rsidRDefault="006307DF" w:rsidP="004B3F5D">
      <w:pPr>
        <w:rPr>
          <w:sz w:val="24"/>
        </w:rPr>
      </w:pPr>
    </w:p>
    <w:p w14:paraId="0B5ABC06" w14:textId="77777777" w:rsidR="006307DF" w:rsidRDefault="006307DF" w:rsidP="004B3F5D">
      <w:pPr>
        <w:pStyle w:val="BodyText2"/>
        <w:tabs>
          <w:tab w:val="left" w:pos="1080"/>
        </w:tabs>
        <w:spacing w:line="360" w:lineRule="auto"/>
        <w:ind w:left="720"/>
      </w:pPr>
      <w:r>
        <w:t>1)</w:t>
      </w:r>
      <w:r>
        <w:tab/>
        <w:t>Merits of proposed technical approach.</w:t>
      </w:r>
    </w:p>
    <w:p w14:paraId="32EBE74E" w14:textId="77777777" w:rsidR="006307DF" w:rsidRDefault="009C6EFE" w:rsidP="004B3F5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2)</w:t>
      </w:r>
      <w:r>
        <w:tab/>
      </w:r>
      <w:r w:rsidR="006307DF">
        <w:t>Previous performance on related research studies.</w:t>
      </w:r>
    </w:p>
    <w:p w14:paraId="1F156CDC"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Personnel available for proposed study – related experience.</w:t>
      </w:r>
    </w:p>
    <w:p w14:paraId="13FDFF61"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Timeliness of study completion.</w:t>
      </w:r>
    </w:p>
    <w:p w14:paraId="123ADC58" w14:textId="77777777" w:rsidR="006307DF" w:rsidRDefault="006307DF" w:rsidP="009B091E">
      <w:pPr>
        <w:pStyle w:val="level1"/>
        <w:numPr>
          <w:ilvl w:val="0"/>
          <w:numId w:val="1"/>
        </w:numPr>
        <w:tabs>
          <w:tab w:val="clear" w:pos="360"/>
          <w:tab w:val="clear" w:pos="1440"/>
          <w:tab w:val="left" w:pos="1080"/>
          <w:tab w:val="left" w:pos="1710"/>
        </w:tabs>
        <w:spacing w:line="360" w:lineRule="auto"/>
        <w:ind w:left="720" w:firstLine="0"/>
        <w:jc w:val="both"/>
      </w:pPr>
      <w:r>
        <w:tab/>
        <w:t>Cost.</w:t>
      </w:r>
    </w:p>
    <w:sectPr w:rsidR="006307DF" w:rsidSect="002C5505">
      <w:footerReference w:type="even" r:id="rId10"/>
      <w:footerReference w:type="default" r:id="rId11"/>
      <w:type w:val="continuous"/>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CB1E1" w14:textId="77777777" w:rsidR="00FA0826" w:rsidRDefault="00FA0826">
      <w:r>
        <w:separator/>
      </w:r>
    </w:p>
  </w:endnote>
  <w:endnote w:type="continuationSeparator" w:id="0">
    <w:p w14:paraId="1F9D4426" w14:textId="77777777" w:rsidR="00FA0826" w:rsidRDefault="00F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w:altName w:val="Ebrim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72B2"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CEF02" w14:textId="77777777" w:rsidR="00600B80" w:rsidRDefault="0060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5959"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B7A">
      <w:rPr>
        <w:rStyle w:val="PageNumber"/>
        <w:noProof/>
      </w:rPr>
      <w:t>2</w:t>
    </w:r>
    <w:r>
      <w:rPr>
        <w:rStyle w:val="PageNumber"/>
      </w:rPr>
      <w:fldChar w:fldCharType="end"/>
    </w:r>
  </w:p>
  <w:p w14:paraId="28AF7211" w14:textId="77777777" w:rsidR="00600B80" w:rsidRDefault="00600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790E" w14:textId="77777777" w:rsidR="00FA0826" w:rsidRDefault="00FA0826">
      <w:r>
        <w:separator/>
      </w:r>
    </w:p>
  </w:footnote>
  <w:footnote w:type="continuationSeparator" w:id="0">
    <w:p w14:paraId="458FB2A2" w14:textId="77777777" w:rsidR="00FA0826" w:rsidRDefault="00FA0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5F64C5C"/>
    <w:multiLevelType w:val="singleLevel"/>
    <w:tmpl w:val="713C9152"/>
    <w:lvl w:ilvl="0">
      <w:start w:val="3"/>
      <w:numFmt w:val="decimal"/>
      <w:lvlText w:val="%1)"/>
      <w:legacy w:legacy="1" w:legacySpace="0" w:legacyIndent="1"/>
      <w:lvlJc w:val="left"/>
      <w:pPr>
        <w:ind w:left="1441" w:hanging="1"/>
      </w:pPr>
    </w:lvl>
  </w:abstractNum>
  <w:abstractNum w:abstractNumId="5" w15:restartNumberingAfterBreak="0">
    <w:nsid w:val="0F654A01"/>
    <w:multiLevelType w:val="hybridMultilevel"/>
    <w:tmpl w:val="AAAAE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07272"/>
    <w:multiLevelType w:val="hybridMultilevel"/>
    <w:tmpl w:val="9954AF02"/>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1F18"/>
    <w:multiLevelType w:val="hybridMultilevel"/>
    <w:tmpl w:val="2F76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0182"/>
    <w:multiLevelType w:val="hybridMultilevel"/>
    <w:tmpl w:val="08EEF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A47D17"/>
    <w:multiLevelType w:val="hybridMultilevel"/>
    <w:tmpl w:val="67A6AB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CC0CB0"/>
    <w:multiLevelType w:val="hybridMultilevel"/>
    <w:tmpl w:val="61E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4BFA"/>
    <w:multiLevelType w:val="hybridMultilevel"/>
    <w:tmpl w:val="F574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834E3"/>
    <w:multiLevelType w:val="hybridMultilevel"/>
    <w:tmpl w:val="9450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4B4"/>
    <w:multiLevelType w:val="hybridMultilevel"/>
    <w:tmpl w:val="DA3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36B1"/>
    <w:multiLevelType w:val="hybridMultilevel"/>
    <w:tmpl w:val="BDC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D13A3"/>
    <w:multiLevelType w:val="hybridMultilevel"/>
    <w:tmpl w:val="D6226A24"/>
    <w:lvl w:ilvl="0" w:tplc="56BCFB1C">
      <w:start w:val="1"/>
      <w:numFmt w:val="lowerRoman"/>
      <w:lvlText w:val="(%1)"/>
      <w:lvlJc w:val="left"/>
      <w:pPr>
        <w:tabs>
          <w:tab w:val="num" w:pos="1170"/>
        </w:tabs>
        <w:ind w:left="1170" w:hanging="72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772278"/>
    <w:multiLevelType w:val="hybridMultilevel"/>
    <w:tmpl w:val="0B8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522300"/>
    <w:multiLevelType w:val="hybridMultilevel"/>
    <w:tmpl w:val="C8D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17E6"/>
    <w:multiLevelType w:val="hybridMultilevel"/>
    <w:tmpl w:val="164E1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F0E1867"/>
    <w:multiLevelType w:val="hybridMultilevel"/>
    <w:tmpl w:val="CD3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67925"/>
    <w:multiLevelType w:val="hybridMultilevel"/>
    <w:tmpl w:val="C186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E7CEA"/>
    <w:multiLevelType w:val="hybridMultilevel"/>
    <w:tmpl w:val="D96C8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8C6464"/>
    <w:multiLevelType w:val="hybridMultilevel"/>
    <w:tmpl w:val="5EB00DC8"/>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F4E55"/>
    <w:multiLevelType w:val="hybridMultilevel"/>
    <w:tmpl w:val="D2C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26E9E"/>
    <w:multiLevelType w:val="hybridMultilevel"/>
    <w:tmpl w:val="0766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04274"/>
    <w:multiLevelType w:val="hybridMultilevel"/>
    <w:tmpl w:val="37F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6488D"/>
    <w:multiLevelType w:val="hybridMultilevel"/>
    <w:tmpl w:val="1188D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E446F6"/>
    <w:multiLevelType w:val="hybridMultilevel"/>
    <w:tmpl w:val="E0F838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A62F44"/>
    <w:multiLevelType w:val="hybridMultilevel"/>
    <w:tmpl w:val="FE58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E93F86"/>
    <w:multiLevelType w:val="hybridMultilevel"/>
    <w:tmpl w:val="4B709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A2892"/>
    <w:multiLevelType w:val="hybridMultilevel"/>
    <w:tmpl w:val="2DE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B1707"/>
    <w:multiLevelType w:val="hybridMultilevel"/>
    <w:tmpl w:val="5BF0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5"/>
  </w:num>
  <w:num w:numId="4">
    <w:abstractNumId w:val="14"/>
  </w:num>
  <w:num w:numId="5">
    <w:abstractNumId w:val="7"/>
  </w:num>
  <w:num w:numId="6">
    <w:abstractNumId w:val="17"/>
  </w:num>
  <w:num w:numId="7">
    <w:abstractNumId w:val="30"/>
  </w:num>
  <w:num w:numId="8">
    <w:abstractNumId w:val="9"/>
  </w:num>
  <w:num w:numId="9">
    <w:abstractNumId w:val="20"/>
  </w:num>
  <w:num w:numId="10">
    <w:abstractNumId w:val="0"/>
  </w:num>
  <w:num w:numId="11">
    <w:abstractNumId w:val="1"/>
  </w:num>
  <w:num w:numId="12">
    <w:abstractNumId w:val="2"/>
  </w:num>
  <w:num w:numId="13">
    <w:abstractNumId w:val="3"/>
  </w:num>
  <w:num w:numId="14">
    <w:abstractNumId w:val="27"/>
  </w:num>
  <w:num w:numId="15">
    <w:abstractNumId w:val="23"/>
  </w:num>
  <w:num w:numId="16">
    <w:abstractNumId w:val="11"/>
  </w:num>
  <w:num w:numId="17">
    <w:abstractNumId w:val="16"/>
  </w:num>
  <w:num w:numId="18">
    <w:abstractNumId w:val="28"/>
  </w:num>
  <w:num w:numId="19">
    <w:abstractNumId w:val="18"/>
  </w:num>
  <w:num w:numId="20">
    <w:abstractNumId w:val="22"/>
  </w:num>
  <w:num w:numId="21">
    <w:abstractNumId w:val="6"/>
  </w:num>
  <w:num w:numId="22">
    <w:abstractNumId w:val="24"/>
  </w:num>
  <w:num w:numId="23">
    <w:abstractNumId w:val="13"/>
  </w:num>
  <w:num w:numId="24">
    <w:abstractNumId w:val="12"/>
  </w:num>
  <w:num w:numId="25">
    <w:abstractNumId w:val="10"/>
  </w:num>
  <w:num w:numId="26">
    <w:abstractNumId w:val="29"/>
  </w:num>
  <w:num w:numId="27">
    <w:abstractNumId w:val="31"/>
  </w:num>
  <w:num w:numId="28">
    <w:abstractNumId w:val="19"/>
  </w:num>
  <w:num w:numId="29">
    <w:abstractNumId w:val="21"/>
  </w:num>
  <w:num w:numId="30">
    <w:abstractNumId w:val="26"/>
  </w:num>
  <w:num w:numId="31">
    <w:abstractNumId w:val="8"/>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26"/>
    <w:rsid w:val="00013318"/>
    <w:rsid w:val="00020266"/>
    <w:rsid w:val="00054017"/>
    <w:rsid w:val="000546ED"/>
    <w:rsid w:val="0007337A"/>
    <w:rsid w:val="00092EAC"/>
    <w:rsid w:val="000C101B"/>
    <w:rsid w:val="00110F22"/>
    <w:rsid w:val="00112445"/>
    <w:rsid w:val="00114834"/>
    <w:rsid w:val="00127AB5"/>
    <w:rsid w:val="001628D1"/>
    <w:rsid w:val="00162E7C"/>
    <w:rsid w:val="00162F52"/>
    <w:rsid w:val="001846EE"/>
    <w:rsid w:val="001B4AAE"/>
    <w:rsid w:val="001D0198"/>
    <w:rsid w:val="001D538D"/>
    <w:rsid w:val="001E5259"/>
    <w:rsid w:val="001F2F34"/>
    <w:rsid w:val="00204786"/>
    <w:rsid w:val="00233BAE"/>
    <w:rsid w:val="002725AB"/>
    <w:rsid w:val="00282A8A"/>
    <w:rsid w:val="002B05D5"/>
    <w:rsid w:val="002C5505"/>
    <w:rsid w:val="002E4D45"/>
    <w:rsid w:val="002E67CC"/>
    <w:rsid w:val="002E6C95"/>
    <w:rsid w:val="002E72D5"/>
    <w:rsid w:val="002F2034"/>
    <w:rsid w:val="002F2354"/>
    <w:rsid w:val="0030688E"/>
    <w:rsid w:val="00362B6A"/>
    <w:rsid w:val="00371429"/>
    <w:rsid w:val="0039578D"/>
    <w:rsid w:val="003E3374"/>
    <w:rsid w:val="004047A6"/>
    <w:rsid w:val="00405273"/>
    <w:rsid w:val="004255F8"/>
    <w:rsid w:val="00451DBD"/>
    <w:rsid w:val="004577FC"/>
    <w:rsid w:val="00461E2C"/>
    <w:rsid w:val="004908C0"/>
    <w:rsid w:val="004A2318"/>
    <w:rsid w:val="004B3F5D"/>
    <w:rsid w:val="004C1E1C"/>
    <w:rsid w:val="004D335F"/>
    <w:rsid w:val="004E03D5"/>
    <w:rsid w:val="004E5D1E"/>
    <w:rsid w:val="0052322F"/>
    <w:rsid w:val="0059453C"/>
    <w:rsid w:val="005977E2"/>
    <w:rsid w:val="005A5EB4"/>
    <w:rsid w:val="005B66FE"/>
    <w:rsid w:val="005D1946"/>
    <w:rsid w:val="005D4919"/>
    <w:rsid w:val="005D7AB5"/>
    <w:rsid w:val="005E0E93"/>
    <w:rsid w:val="00600B80"/>
    <w:rsid w:val="00610144"/>
    <w:rsid w:val="0062627F"/>
    <w:rsid w:val="006307DF"/>
    <w:rsid w:val="00630BC4"/>
    <w:rsid w:val="00634B3A"/>
    <w:rsid w:val="006365FB"/>
    <w:rsid w:val="00642E67"/>
    <w:rsid w:val="006516A5"/>
    <w:rsid w:val="00666D39"/>
    <w:rsid w:val="00673A37"/>
    <w:rsid w:val="006B061C"/>
    <w:rsid w:val="006C2E0D"/>
    <w:rsid w:val="006E4A2E"/>
    <w:rsid w:val="00711CEB"/>
    <w:rsid w:val="00730F7D"/>
    <w:rsid w:val="00745B50"/>
    <w:rsid w:val="00747D6B"/>
    <w:rsid w:val="0076334D"/>
    <w:rsid w:val="00773A1F"/>
    <w:rsid w:val="0077425F"/>
    <w:rsid w:val="007817DD"/>
    <w:rsid w:val="007874D8"/>
    <w:rsid w:val="007A1642"/>
    <w:rsid w:val="007A4A3E"/>
    <w:rsid w:val="007E4F08"/>
    <w:rsid w:val="007F357E"/>
    <w:rsid w:val="00800A81"/>
    <w:rsid w:val="00805974"/>
    <w:rsid w:val="00814889"/>
    <w:rsid w:val="008500F2"/>
    <w:rsid w:val="00850246"/>
    <w:rsid w:val="0085098E"/>
    <w:rsid w:val="00855C88"/>
    <w:rsid w:val="00856766"/>
    <w:rsid w:val="008600D2"/>
    <w:rsid w:val="008714C1"/>
    <w:rsid w:val="00887E74"/>
    <w:rsid w:val="008A5B98"/>
    <w:rsid w:val="008B5E31"/>
    <w:rsid w:val="008F1143"/>
    <w:rsid w:val="008F222A"/>
    <w:rsid w:val="008F697C"/>
    <w:rsid w:val="0093583D"/>
    <w:rsid w:val="00937EAE"/>
    <w:rsid w:val="009520DB"/>
    <w:rsid w:val="00952EE5"/>
    <w:rsid w:val="00953E60"/>
    <w:rsid w:val="00961F4C"/>
    <w:rsid w:val="0096675C"/>
    <w:rsid w:val="009B091E"/>
    <w:rsid w:val="009B50B1"/>
    <w:rsid w:val="009C6EFE"/>
    <w:rsid w:val="009D0955"/>
    <w:rsid w:val="009F0947"/>
    <w:rsid w:val="00A05B14"/>
    <w:rsid w:val="00A118BA"/>
    <w:rsid w:val="00A2313B"/>
    <w:rsid w:val="00A32D84"/>
    <w:rsid w:val="00A41BFC"/>
    <w:rsid w:val="00A426C5"/>
    <w:rsid w:val="00A5222E"/>
    <w:rsid w:val="00AA370C"/>
    <w:rsid w:val="00AA5D3C"/>
    <w:rsid w:val="00AC2B1A"/>
    <w:rsid w:val="00B001D0"/>
    <w:rsid w:val="00B07FE1"/>
    <w:rsid w:val="00B27F58"/>
    <w:rsid w:val="00B46C89"/>
    <w:rsid w:val="00B603F4"/>
    <w:rsid w:val="00B7399E"/>
    <w:rsid w:val="00B76AB8"/>
    <w:rsid w:val="00B82D92"/>
    <w:rsid w:val="00B92075"/>
    <w:rsid w:val="00BA1E8F"/>
    <w:rsid w:val="00BC03EB"/>
    <w:rsid w:val="00BD59A1"/>
    <w:rsid w:val="00BD656A"/>
    <w:rsid w:val="00BF607E"/>
    <w:rsid w:val="00C13D90"/>
    <w:rsid w:val="00C14265"/>
    <w:rsid w:val="00C2297A"/>
    <w:rsid w:val="00C2784A"/>
    <w:rsid w:val="00C479AB"/>
    <w:rsid w:val="00C612A1"/>
    <w:rsid w:val="00C8367C"/>
    <w:rsid w:val="00CA6126"/>
    <w:rsid w:val="00CB1A2E"/>
    <w:rsid w:val="00CC6AC6"/>
    <w:rsid w:val="00CD2965"/>
    <w:rsid w:val="00CD3A5D"/>
    <w:rsid w:val="00CD3B49"/>
    <w:rsid w:val="00CF6B52"/>
    <w:rsid w:val="00D17EC1"/>
    <w:rsid w:val="00D20B42"/>
    <w:rsid w:val="00D21722"/>
    <w:rsid w:val="00D50BF2"/>
    <w:rsid w:val="00D51C96"/>
    <w:rsid w:val="00D7602E"/>
    <w:rsid w:val="00D80B7A"/>
    <w:rsid w:val="00D87FCB"/>
    <w:rsid w:val="00DA2B1C"/>
    <w:rsid w:val="00DB5E05"/>
    <w:rsid w:val="00DD2A5A"/>
    <w:rsid w:val="00DE4E1A"/>
    <w:rsid w:val="00E026DE"/>
    <w:rsid w:val="00E114A8"/>
    <w:rsid w:val="00E23714"/>
    <w:rsid w:val="00E26195"/>
    <w:rsid w:val="00E33CDC"/>
    <w:rsid w:val="00E40EFB"/>
    <w:rsid w:val="00E43555"/>
    <w:rsid w:val="00E43818"/>
    <w:rsid w:val="00E85C3A"/>
    <w:rsid w:val="00E94F76"/>
    <w:rsid w:val="00E9782D"/>
    <w:rsid w:val="00EC2DAD"/>
    <w:rsid w:val="00EE3B89"/>
    <w:rsid w:val="00EE41B1"/>
    <w:rsid w:val="00F06B2D"/>
    <w:rsid w:val="00F23A7C"/>
    <w:rsid w:val="00F47921"/>
    <w:rsid w:val="00F63A6D"/>
    <w:rsid w:val="00F876D7"/>
    <w:rsid w:val="00FA0826"/>
    <w:rsid w:val="00FA2BBC"/>
    <w:rsid w:val="00FA3660"/>
    <w:rsid w:val="00FB7C84"/>
    <w:rsid w:val="00FE6D00"/>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F445"/>
  <w15:docId w15:val="{264631BD-3F84-4FA3-AC58-2AF04C1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E8F"/>
  </w:style>
  <w:style w:type="paragraph" w:styleId="Heading1">
    <w:name w:val="heading 1"/>
    <w:basedOn w:val="Normal"/>
    <w:next w:val="Normal"/>
    <w:qFormat/>
    <w:rsid w:val="00BA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60"/>
      <w:ind w:left="720" w:hanging="720"/>
      <w:outlineLvl w:val="0"/>
    </w:pPr>
    <w:rPr>
      <w:rFonts w:ascii="Arial" w:hAnsi="Arial"/>
      <w:b/>
      <w:snapToGrid w:val="0"/>
      <w:sz w:val="28"/>
    </w:rPr>
  </w:style>
  <w:style w:type="paragraph" w:styleId="Heading2">
    <w:name w:val="heading 2"/>
    <w:basedOn w:val="Normal"/>
    <w:next w:val="Normal"/>
    <w:qFormat/>
    <w:rsid w:val="00BA1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outlineLvl w:val="1"/>
    </w:pPr>
    <w:rPr>
      <w:sz w:val="24"/>
    </w:rPr>
  </w:style>
  <w:style w:type="paragraph" w:styleId="Heading3">
    <w:name w:val="heading 3"/>
    <w:basedOn w:val="Normal"/>
    <w:next w:val="Normal"/>
    <w:qFormat/>
    <w:rsid w:val="00BA1E8F"/>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sz w:val="24"/>
    </w:rPr>
  </w:style>
  <w:style w:type="paragraph" w:styleId="Heading4">
    <w:name w:val="heading 4"/>
    <w:basedOn w:val="Normal"/>
    <w:next w:val="Normal"/>
    <w:qFormat/>
    <w:rsid w:val="00BA1E8F"/>
    <w:pPr>
      <w:keepNext/>
      <w:jc w:val="both"/>
      <w:outlineLvl w:val="3"/>
    </w:pPr>
    <w:rPr>
      <w:sz w:val="24"/>
      <w:u w:val="single"/>
    </w:rPr>
  </w:style>
  <w:style w:type="paragraph" w:styleId="Heading5">
    <w:name w:val="heading 5"/>
    <w:basedOn w:val="Normal"/>
    <w:next w:val="Normal"/>
    <w:qFormat/>
    <w:rsid w:val="00BA1E8F"/>
    <w:pPr>
      <w:keepNext/>
      <w:numPr>
        <w:ilvl w:val="12"/>
      </w:numPr>
      <w:tabs>
        <w:tab w:val="left" w:pos="0"/>
        <w:tab w:val="center" w:pos="4680"/>
        <w:tab w:val="left" w:pos="5040"/>
        <w:tab w:val="left" w:pos="5760"/>
        <w:tab w:val="left" w:pos="6480"/>
        <w:tab w:val="left" w:pos="7200"/>
        <w:tab w:val="left" w:pos="7920"/>
        <w:tab w:val="left" w:pos="8640"/>
        <w:tab w:val="right" w:pos="9360"/>
      </w:tabs>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1E8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Pr>
      <w:snapToGrid w:val="0"/>
      <w:sz w:val="23"/>
    </w:rPr>
  </w:style>
  <w:style w:type="character" w:styleId="Hyperlink">
    <w:name w:val="Hyperlink"/>
    <w:basedOn w:val="DefaultParagraphFont"/>
    <w:rsid w:val="00BA1E8F"/>
    <w:rPr>
      <w:color w:val="0000FF"/>
      <w:u w:val="single"/>
    </w:rPr>
  </w:style>
  <w:style w:type="paragraph" w:customStyle="1" w:styleId="level1">
    <w:name w:val="_level1"/>
    <w:rsid w:val="00BA1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3">
    <w:name w:val="Body Text 3"/>
    <w:basedOn w:val="Normal"/>
    <w:rsid w:val="00BA1E8F"/>
    <w:pPr>
      <w:jc w:val="both"/>
    </w:pPr>
    <w:rPr>
      <w:snapToGrid w:val="0"/>
      <w:sz w:val="23"/>
    </w:rPr>
  </w:style>
  <w:style w:type="paragraph" w:customStyle="1" w:styleId="BodyText21">
    <w:name w:val="Body Text 21"/>
    <w:rsid w:val="00BA1E8F"/>
    <w:pPr>
      <w:spacing w:line="360" w:lineRule="auto"/>
    </w:pPr>
    <w:rPr>
      <w:snapToGrid w:val="0"/>
      <w:sz w:val="23"/>
    </w:rPr>
  </w:style>
  <w:style w:type="paragraph" w:styleId="BodyText">
    <w:name w:val="Body Text"/>
    <w:basedOn w:val="Normal"/>
    <w:rsid w:val="00BA1E8F"/>
    <w:pPr>
      <w:jc w:val="both"/>
    </w:pPr>
    <w:rPr>
      <w:sz w:val="24"/>
    </w:rPr>
  </w:style>
  <w:style w:type="paragraph" w:styleId="BodyText2">
    <w:name w:val="Body Text 2"/>
    <w:basedOn w:val="Normal"/>
    <w:rsid w:val="00BA1E8F"/>
    <w:rPr>
      <w:sz w:val="24"/>
    </w:rPr>
  </w:style>
  <w:style w:type="paragraph" w:styleId="Header">
    <w:name w:val="header"/>
    <w:basedOn w:val="Normal"/>
    <w:rsid w:val="00BA1E8F"/>
    <w:pPr>
      <w:tabs>
        <w:tab w:val="center" w:pos="4320"/>
        <w:tab w:val="right" w:pos="8640"/>
      </w:tabs>
    </w:pPr>
  </w:style>
  <w:style w:type="character" w:styleId="PageNumber">
    <w:name w:val="page number"/>
    <w:basedOn w:val="DefaultParagraphFont"/>
    <w:rsid w:val="00BA1E8F"/>
  </w:style>
  <w:style w:type="paragraph" w:styleId="Footer">
    <w:name w:val="footer"/>
    <w:basedOn w:val="Normal"/>
    <w:rsid w:val="00BA1E8F"/>
    <w:pPr>
      <w:tabs>
        <w:tab w:val="center" w:pos="4320"/>
        <w:tab w:val="right" w:pos="8640"/>
      </w:tabs>
    </w:pPr>
  </w:style>
  <w:style w:type="paragraph" w:styleId="BodyTextIndent2">
    <w:name w:val="Body Text Indent 2"/>
    <w:basedOn w:val="Normal"/>
    <w:rsid w:val="00BA1E8F"/>
    <w:pPr>
      <w:ind w:left="1080" w:hanging="360"/>
      <w:jc w:val="both"/>
    </w:pPr>
    <w:rPr>
      <w:sz w:val="24"/>
    </w:rPr>
  </w:style>
  <w:style w:type="character" w:styleId="FollowedHyperlink">
    <w:name w:val="FollowedHyperlink"/>
    <w:basedOn w:val="DefaultParagraphFont"/>
    <w:rsid w:val="00BA1E8F"/>
    <w:rPr>
      <w:color w:val="800080"/>
      <w:u w:val="single"/>
    </w:rPr>
  </w:style>
  <w:style w:type="character" w:styleId="CommentReference">
    <w:name w:val="annotation reference"/>
    <w:basedOn w:val="DefaultParagraphFont"/>
    <w:semiHidden/>
    <w:rsid w:val="00BA1E8F"/>
    <w:rPr>
      <w:sz w:val="16"/>
    </w:rPr>
  </w:style>
  <w:style w:type="paragraph" w:styleId="CommentText">
    <w:name w:val="annotation text"/>
    <w:basedOn w:val="Normal"/>
    <w:link w:val="CommentTextChar"/>
    <w:semiHidden/>
    <w:rsid w:val="00BA1E8F"/>
  </w:style>
  <w:style w:type="paragraph" w:styleId="BalloonText">
    <w:name w:val="Balloon Text"/>
    <w:basedOn w:val="Normal"/>
    <w:semiHidden/>
    <w:rsid w:val="004255F8"/>
    <w:rPr>
      <w:rFonts w:ascii="Tahoma" w:hAnsi="Tahoma" w:cs="Tahoma"/>
      <w:sz w:val="16"/>
      <w:szCs w:val="16"/>
    </w:rPr>
  </w:style>
  <w:style w:type="paragraph" w:styleId="CommentSubject">
    <w:name w:val="annotation subject"/>
    <w:basedOn w:val="CommentText"/>
    <w:next w:val="CommentText"/>
    <w:semiHidden/>
    <w:rsid w:val="006E4A2E"/>
    <w:rPr>
      <w:b/>
      <w:bCs/>
    </w:rPr>
  </w:style>
  <w:style w:type="table" w:styleId="TableGrid">
    <w:name w:val="Table Grid"/>
    <w:basedOn w:val="TableNormal"/>
    <w:rsid w:val="007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1846EE"/>
    <w:rPr>
      <w:lang w:val="en-US" w:eastAsia="en-US" w:bidi="ar-SA"/>
    </w:rPr>
  </w:style>
  <w:style w:type="paragraph" w:styleId="FootnoteText">
    <w:name w:val="footnote text"/>
    <w:basedOn w:val="Normal"/>
    <w:link w:val="FootnoteTextChar"/>
    <w:rsid w:val="00F63A6D"/>
  </w:style>
  <w:style w:type="character" w:styleId="FootnoteReference">
    <w:name w:val="footnote reference"/>
    <w:basedOn w:val="DefaultParagraphFont"/>
    <w:rsid w:val="00F63A6D"/>
    <w:rPr>
      <w:vertAlign w:val="superscript"/>
    </w:rPr>
  </w:style>
  <w:style w:type="paragraph" w:customStyle="1" w:styleId="bulletPara">
    <w:name w:val="bulletPara"/>
    <w:basedOn w:val="Normal"/>
    <w:rsid w:val="00FB7C84"/>
    <w:pPr>
      <w:spacing w:after="200"/>
      <w:ind w:left="432" w:hanging="432"/>
    </w:pPr>
    <w:rPr>
      <w:sz w:val="24"/>
      <w:szCs w:val="24"/>
    </w:rPr>
  </w:style>
  <w:style w:type="paragraph" w:customStyle="1" w:styleId="Text">
    <w:name w:val="Text"/>
    <w:basedOn w:val="Normal"/>
    <w:rsid w:val="00FB7C84"/>
    <w:pPr>
      <w:spacing w:after="240" w:line="312" w:lineRule="auto"/>
      <w:ind w:firstLine="720"/>
    </w:pPr>
    <w:rPr>
      <w:sz w:val="24"/>
    </w:rPr>
  </w:style>
  <w:style w:type="paragraph" w:styleId="NormalWeb">
    <w:name w:val="Normal (Web)"/>
    <w:basedOn w:val="Normal"/>
    <w:rsid w:val="005D4919"/>
    <w:pPr>
      <w:spacing w:before="100" w:beforeAutospacing="1" w:after="100" w:afterAutospacing="1"/>
    </w:pPr>
    <w:rPr>
      <w:sz w:val="24"/>
      <w:szCs w:val="24"/>
    </w:rPr>
  </w:style>
  <w:style w:type="paragraph" w:styleId="ListParagraph">
    <w:name w:val="List Paragraph"/>
    <w:basedOn w:val="Normal"/>
    <w:uiPriority w:val="34"/>
    <w:qFormat/>
    <w:rsid w:val="002F2034"/>
    <w:pPr>
      <w:ind w:left="720"/>
      <w:contextualSpacing/>
    </w:pPr>
    <w:rPr>
      <w:rFonts w:eastAsia="MS Mincho"/>
      <w:sz w:val="24"/>
      <w:szCs w:val="24"/>
    </w:rPr>
  </w:style>
  <w:style w:type="character" w:customStyle="1" w:styleId="FootnoteTextChar">
    <w:name w:val="Footnote Text Char"/>
    <w:basedOn w:val="DefaultParagraphFont"/>
    <w:link w:val="FootnoteText"/>
    <w:rsid w:val="00FA3660"/>
  </w:style>
  <w:style w:type="paragraph" w:styleId="DocumentMap">
    <w:name w:val="Document Map"/>
    <w:basedOn w:val="Normal"/>
    <w:link w:val="DocumentMapChar"/>
    <w:rsid w:val="0062627F"/>
    <w:rPr>
      <w:rFonts w:ascii="Tahoma" w:hAnsi="Tahoma" w:cs="Tahoma"/>
      <w:sz w:val="16"/>
      <w:szCs w:val="16"/>
    </w:rPr>
  </w:style>
  <w:style w:type="character" w:customStyle="1" w:styleId="DocumentMapChar">
    <w:name w:val="Document Map Char"/>
    <w:basedOn w:val="DefaultParagraphFont"/>
    <w:link w:val="DocumentMap"/>
    <w:rsid w:val="0062627F"/>
    <w:rPr>
      <w:rFonts w:ascii="Tahoma" w:hAnsi="Tahoma" w:cs="Tahoma"/>
      <w:sz w:val="16"/>
      <w:szCs w:val="16"/>
    </w:rPr>
  </w:style>
  <w:style w:type="paragraph" w:styleId="NoSpacing">
    <w:name w:val="No Spacing"/>
    <w:uiPriority w:val="1"/>
    <w:qFormat/>
    <w:rsid w:val="00745B5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F2F34"/>
    <w:rPr>
      <w:color w:val="605E5C"/>
      <w:shd w:val="clear" w:color="auto" w:fill="E1DFDD"/>
    </w:rPr>
  </w:style>
  <w:style w:type="character" w:styleId="PlaceholderText">
    <w:name w:val="Placeholder Text"/>
    <w:basedOn w:val="DefaultParagraphFont"/>
    <w:uiPriority w:val="99"/>
    <w:semiHidden/>
    <w:rsid w:val="00B46C89"/>
    <w:rPr>
      <w:color w:val="808080"/>
    </w:rPr>
  </w:style>
  <w:style w:type="character" w:customStyle="1" w:styleId="ProjectTitle">
    <w:name w:val="Project Title"/>
    <w:basedOn w:val="DefaultParagraphFont"/>
    <w:uiPriority w:val="1"/>
    <w:rsid w:val="00B46C8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560">
      <w:bodyDiv w:val="1"/>
      <w:marLeft w:val="0"/>
      <w:marRight w:val="0"/>
      <w:marTop w:val="0"/>
      <w:marBottom w:val="0"/>
      <w:divBdr>
        <w:top w:val="none" w:sz="0" w:space="0" w:color="auto"/>
        <w:left w:val="none" w:sz="0" w:space="0" w:color="auto"/>
        <w:bottom w:val="none" w:sz="0" w:space="0" w:color="auto"/>
        <w:right w:val="none" w:sz="0" w:space="0" w:color="auto"/>
      </w:divBdr>
    </w:div>
    <w:div w:id="379598837">
      <w:bodyDiv w:val="1"/>
      <w:marLeft w:val="0"/>
      <w:marRight w:val="0"/>
      <w:marTop w:val="0"/>
      <w:marBottom w:val="0"/>
      <w:divBdr>
        <w:top w:val="none" w:sz="0" w:space="0" w:color="auto"/>
        <w:left w:val="none" w:sz="0" w:space="0" w:color="auto"/>
        <w:bottom w:val="none" w:sz="0" w:space="0" w:color="auto"/>
        <w:right w:val="none" w:sz="0" w:space="0" w:color="auto"/>
      </w:divBdr>
    </w:div>
    <w:div w:id="383987164">
      <w:bodyDiv w:val="1"/>
      <w:marLeft w:val="0"/>
      <w:marRight w:val="0"/>
      <w:marTop w:val="0"/>
      <w:marBottom w:val="0"/>
      <w:divBdr>
        <w:top w:val="none" w:sz="0" w:space="0" w:color="auto"/>
        <w:left w:val="none" w:sz="0" w:space="0" w:color="auto"/>
        <w:bottom w:val="none" w:sz="0" w:space="0" w:color="auto"/>
        <w:right w:val="none" w:sz="0" w:space="0" w:color="auto"/>
      </w:divBdr>
    </w:div>
    <w:div w:id="551039036">
      <w:bodyDiv w:val="1"/>
      <w:marLeft w:val="0"/>
      <w:marRight w:val="0"/>
      <w:marTop w:val="0"/>
      <w:marBottom w:val="0"/>
      <w:divBdr>
        <w:top w:val="none" w:sz="0" w:space="0" w:color="auto"/>
        <w:left w:val="none" w:sz="0" w:space="0" w:color="auto"/>
        <w:bottom w:val="none" w:sz="0" w:space="0" w:color="auto"/>
        <w:right w:val="none" w:sz="0" w:space="0" w:color="auto"/>
      </w:divBdr>
    </w:div>
    <w:div w:id="920530031">
      <w:bodyDiv w:val="1"/>
      <w:marLeft w:val="0"/>
      <w:marRight w:val="0"/>
      <w:marTop w:val="0"/>
      <w:marBottom w:val="0"/>
      <w:divBdr>
        <w:top w:val="none" w:sz="0" w:space="0" w:color="auto"/>
        <w:left w:val="none" w:sz="0" w:space="0" w:color="auto"/>
        <w:bottom w:val="none" w:sz="0" w:space="0" w:color="auto"/>
        <w:right w:val="none" w:sz="0" w:space="0" w:color="auto"/>
      </w:divBdr>
    </w:div>
    <w:div w:id="999313357">
      <w:bodyDiv w:val="1"/>
      <w:marLeft w:val="0"/>
      <w:marRight w:val="0"/>
      <w:marTop w:val="0"/>
      <w:marBottom w:val="0"/>
      <w:divBdr>
        <w:top w:val="none" w:sz="0" w:space="0" w:color="auto"/>
        <w:left w:val="none" w:sz="0" w:space="0" w:color="auto"/>
        <w:bottom w:val="none" w:sz="0" w:space="0" w:color="auto"/>
        <w:right w:val="none" w:sz="0" w:space="0" w:color="auto"/>
      </w:divBdr>
    </w:div>
    <w:div w:id="1235508668">
      <w:bodyDiv w:val="1"/>
      <w:marLeft w:val="0"/>
      <w:marRight w:val="0"/>
      <w:marTop w:val="0"/>
      <w:marBottom w:val="0"/>
      <w:divBdr>
        <w:top w:val="none" w:sz="0" w:space="0" w:color="auto"/>
        <w:left w:val="none" w:sz="0" w:space="0" w:color="auto"/>
        <w:bottom w:val="none" w:sz="0" w:space="0" w:color="auto"/>
        <w:right w:val="none" w:sz="0" w:space="0" w:color="auto"/>
      </w:divBdr>
    </w:div>
    <w:div w:id="1736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A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ennant@crc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RC%20Office%20Tools%20CJT\Forms%20&amp;%20Lists\New%20Letterhead%20&amp;%20Templates\CRC%20Project%20NUMBER%20Request%20for%20Propos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Project NUMBER Request for Proposals.dotx</Template>
  <TotalTime>0</TotalTime>
  <Pages>6</Pages>
  <Words>1939</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March 6, 2000</vt:lpstr>
    </vt:vector>
  </TitlesOfParts>
  <Company>CRC</Company>
  <LinksUpToDate>false</LinksUpToDate>
  <CharactersWithSpaces>13502</CharactersWithSpaces>
  <SharedDoc>false</SharedDoc>
  <HLinks>
    <vt:vector size="6" baseType="variant">
      <vt:variant>
        <vt:i4>4980767</vt:i4>
      </vt:variant>
      <vt:variant>
        <vt:i4>0</vt:i4>
      </vt:variant>
      <vt:variant>
        <vt:i4>0</vt:i4>
      </vt:variant>
      <vt:variant>
        <vt:i4>5</vt:i4>
      </vt:variant>
      <vt:variant>
        <vt:lpwstr>http://www.crcao.org/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2000</dc:title>
  <dc:creator>Chris Tennant</dc:creator>
  <cp:lastModifiedBy>Chris Tennant</cp:lastModifiedBy>
  <cp:revision>2</cp:revision>
  <cp:lastPrinted>2013-10-07T12:52:00Z</cp:lastPrinted>
  <dcterms:created xsi:type="dcterms:W3CDTF">2020-06-17T19:43:00Z</dcterms:created>
  <dcterms:modified xsi:type="dcterms:W3CDTF">2020-06-17T19:43:00Z</dcterms:modified>
</cp:coreProperties>
</file>